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1F9CB"/>
    <w:p w14:paraId="10A36841">
      <w:pPr>
        <w:keepLines w:val="0"/>
        <w:pageBreakBefore w:val="0"/>
        <w:kinsoku/>
        <w:overflowPunct/>
        <w:bidi w:val="0"/>
        <w:spacing w:line="360" w:lineRule="auto"/>
        <w:ind w:firstLine="361" w:firstLineChars="100"/>
        <w:jc w:val="center"/>
        <w:rPr>
          <w:rFonts w:hAnsi="宋体" w:cs="宋体"/>
          <w:b/>
          <w:color w:val="auto"/>
          <w:sz w:val="36"/>
          <w:highlight w:val="none"/>
        </w:rPr>
      </w:pPr>
    </w:p>
    <w:p w14:paraId="7C22DB94">
      <w:pPr>
        <w:keepLines w:val="0"/>
        <w:pageBreakBefore w:val="0"/>
        <w:kinsoku/>
        <w:overflowPunct/>
        <w:bidi w:val="0"/>
        <w:spacing w:line="360" w:lineRule="auto"/>
        <w:ind w:firstLine="402" w:firstLineChars="100"/>
        <w:jc w:val="center"/>
        <w:rPr>
          <w:rFonts w:hint="eastAsia" w:hAnsi="宋体"/>
          <w:b/>
          <w:bCs/>
          <w:color w:val="auto"/>
          <w:sz w:val="40"/>
          <w:szCs w:val="40"/>
          <w:highlight w:val="none"/>
          <w:lang w:val="en-US" w:eastAsia="zh-CN"/>
        </w:rPr>
      </w:pPr>
      <w:r>
        <w:rPr>
          <w:rFonts w:hint="eastAsia" w:hAnsi="宋体"/>
          <w:b/>
          <w:bCs/>
          <w:color w:val="auto"/>
          <w:sz w:val="40"/>
          <w:szCs w:val="40"/>
          <w:highlight w:val="none"/>
          <w:lang w:val="en-US" w:eastAsia="zh-CN"/>
        </w:rPr>
        <w:t>四川省凉山州西昌市消防救援大队体能训练精细化管理建设评估项目</w:t>
      </w:r>
    </w:p>
    <w:p w14:paraId="56E32891">
      <w:pPr>
        <w:keepLines w:val="0"/>
        <w:pageBreakBefore w:val="0"/>
        <w:kinsoku/>
        <w:overflowPunct/>
        <w:bidi w:val="0"/>
        <w:spacing w:line="360" w:lineRule="auto"/>
        <w:ind w:firstLine="321" w:firstLineChars="100"/>
        <w:jc w:val="center"/>
        <w:rPr>
          <w:rFonts w:hint="eastAsia" w:hAnsi="宋体" w:eastAsia="宋体"/>
          <w:b/>
          <w:bCs/>
          <w:color w:val="auto"/>
          <w:sz w:val="32"/>
          <w:szCs w:val="32"/>
          <w:highlight w:val="none"/>
          <w:lang w:eastAsia="zh-CN"/>
        </w:rPr>
      </w:pPr>
      <w:r>
        <w:rPr>
          <w:rFonts w:hint="eastAsia" w:hAnsi="宋体"/>
          <w:b/>
          <w:bCs/>
          <w:color w:val="auto"/>
          <w:sz w:val="32"/>
          <w:szCs w:val="32"/>
          <w:highlight w:val="none"/>
        </w:rPr>
        <w:t>招标编号：</w:t>
      </w:r>
      <w:r>
        <w:rPr>
          <w:rFonts w:hint="eastAsia" w:hAnsi="宋体"/>
          <w:b/>
          <w:bCs/>
          <w:color w:val="auto"/>
          <w:sz w:val="32"/>
          <w:szCs w:val="32"/>
          <w:highlight w:val="none"/>
          <w:lang w:eastAsia="zh-CN"/>
        </w:rPr>
        <w:t>SCLDFT20260520001</w:t>
      </w:r>
    </w:p>
    <w:p w14:paraId="3AAC8312">
      <w:pPr>
        <w:pStyle w:val="28"/>
        <w:keepNext w:val="0"/>
        <w:keepLines w:val="0"/>
        <w:pageBreakBefore w:val="0"/>
        <w:widowControl/>
        <w:kinsoku/>
        <w:wordWrap/>
        <w:overflowPunct/>
        <w:topLinePunct w:val="0"/>
        <w:autoSpaceDE/>
        <w:autoSpaceDN/>
        <w:bidi w:val="0"/>
        <w:adjustRightInd/>
        <w:snapToGrid/>
        <w:spacing w:line="360" w:lineRule="auto"/>
        <w:ind w:left="108" w:firstLine="692"/>
        <w:textAlignment w:val="auto"/>
        <w:rPr>
          <w:rFonts w:hint="eastAsia" w:hAnsi="宋体"/>
          <w:b/>
          <w:bCs/>
          <w:color w:val="auto"/>
          <w:sz w:val="32"/>
          <w:szCs w:val="32"/>
          <w:highlight w:val="none"/>
        </w:rPr>
      </w:pPr>
    </w:p>
    <w:p w14:paraId="0854FF7C">
      <w:pPr>
        <w:pStyle w:val="28"/>
        <w:keepNext w:val="0"/>
        <w:keepLines w:val="0"/>
        <w:pageBreakBefore w:val="0"/>
        <w:widowControl/>
        <w:kinsoku/>
        <w:wordWrap/>
        <w:overflowPunct/>
        <w:topLinePunct w:val="0"/>
        <w:autoSpaceDE/>
        <w:autoSpaceDN/>
        <w:bidi w:val="0"/>
        <w:adjustRightInd/>
        <w:snapToGrid/>
        <w:spacing w:line="360" w:lineRule="auto"/>
        <w:ind w:left="108" w:firstLine="692"/>
        <w:textAlignment w:val="auto"/>
        <w:rPr>
          <w:rFonts w:hint="eastAsia" w:hAnsi="宋体"/>
          <w:b/>
          <w:bCs/>
          <w:color w:val="auto"/>
          <w:sz w:val="32"/>
          <w:szCs w:val="32"/>
          <w:highlight w:val="none"/>
        </w:rPr>
      </w:pPr>
    </w:p>
    <w:p w14:paraId="33247826">
      <w:pPr>
        <w:keepLines w:val="0"/>
        <w:pageBreakBefore w:val="0"/>
        <w:kinsoku/>
        <w:overflowPunct/>
        <w:bidi w:val="0"/>
        <w:spacing w:line="360" w:lineRule="auto"/>
        <w:ind w:firstLine="843" w:firstLineChars="100"/>
        <w:jc w:val="center"/>
        <w:rPr>
          <w:rFonts w:hint="eastAsia" w:hAnsi="宋体"/>
          <w:b/>
          <w:bCs/>
          <w:color w:val="auto"/>
          <w:sz w:val="84"/>
          <w:szCs w:val="84"/>
          <w:highlight w:val="none"/>
        </w:rPr>
      </w:pPr>
      <w:r>
        <w:rPr>
          <w:rFonts w:hint="eastAsia" w:hAnsi="宋体"/>
          <w:b/>
          <w:bCs/>
          <w:color w:val="auto"/>
          <w:sz w:val="84"/>
          <w:szCs w:val="84"/>
          <w:highlight w:val="none"/>
        </w:rPr>
        <w:t>招 标 文 件</w:t>
      </w:r>
    </w:p>
    <w:p w14:paraId="14724ED7">
      <w:pPr>
        <w:pStyle w:val="28"/>
        <w:keepNext w:val="0"/>
        <w:keepLines w:val="0"/>
        <w:pageBreakBefore w:val="0"/>
        <w:widowControl/>
        <w:kinsoku/>
        <w:wordWrap/>
        <w:overflowPunct/>
        <w:topLinePunct w:val="0"/>
        <w:autoSpaceDE/>
        <w:autoSpaceDN/>
        <w:bidi w:val="0"/>
        <w:adjustRightInd/>
        <w:snapToGrid/>
        <w:spacing w:line="360" w:lineRule="auto"/>
        <w:ind w:left="108" w:firstLine="692"/>
        <w:textAlignment w:val="auto"/>
        <w:rPr>
          <w:rFonts w:hAnsi="宋体" w:cs="宋体"/>
          <w:color w:val="auto"/>
          <w:sz w:val="44"/>
          <w:szCs w:val="44"/>
          <w:highlight w:val="none"/>
        </w:rPr>
      </w:pPr>
    </w:p>
    <w:p w14:paraId="464F0786">
      <w:pPr>
        <w:keepLines w:val="0"/>
        <w:pageBreakBefore w:val="0"/>
        <w:kinsoku/>
        <w:overflowPunct/>
        <w:bidi w:val="0"/>
        <w:spacing w:line="360" w:lineRule="auto"/>
        <w:ind w:firstLine="361" w:firstLineChars="100"/>
        <w:jc w:val="center"/>
        <w:rPr>
          <w:rFonts w:hint="eastAsia" w:hAnsi="宋体"/>
          <w:b/>
          <w:bCs/>
          <w:color w:val="auto"/>
          <w:sz w:val="36"/>
          <w:szCs w:val="36"/>
          <w:highlight w:val="none"/>
        </w:rPr>
      </w:pPr>
      <w:bookmarkStart w:id="0" w:name="_Hlt101233737"/>
      <w:bookmarkEnd w:id="0"/>
      <w:bookmarkStart w:id="1" w:name="_Hlt101843627"/>
      <w:bookmarkEnd w:id="1"/>
      <w:bookmarkStart w:id="2" w:name="_Toc217446030"/>
      <w:bookmarkStart w:id="3" w:name="_Toc183682338"/>
      <w:r>
        <w:rPr>
          <w:rFonts w:hint="eastAsia" w:hAnsi="宋体"/>
          <w:b/>
          <w:bCs/>
          <w:color w:val="auto"/>
          <w:sz w:val="36"/>
          <w:szCs w:val="36"/>
          <w:highlight w:val="none"/>
        </w:rPr>
        <w:t>中国·四川</w:t>
      </w:r>
    </w:p>
    <w:p w14:paraId="008EA6F4">
      <w:pPr>
        <w:keepLines w:val="0"/>
        <w:pageBreakBefore w:val="0"/>
        <w:kinsoku/>
        <w:overflowPunct/>
        <w:bidi w:val="0"/>
        <w:spacing w:line="360" w:lineRule="auto"/>
        <w:ind w:firstLine="402" w:firstLineChars="100"/>
        <w:jc w:val="center"/>
        <w:rPr>
          <w:rFonts w:hint="eastAsia" w:hAnsi="宋体"/>
          <w:b/>
          <w:bCs/>
          <w:color w:val="auto"/>
          <w:sz w:val="40"/>
          <w:szCs w:val="40"/>
          <w:highlight w:val="none"/>
          <w:lang w:val="en-US" w:eastAsia="zh-CN"/>
        </w:rPr>
      </w:pPr>
      <w:r>
        <w:rPr>
          <w:rFonts w:hint="eastAsia" w:hAnsi="宋体"/>
          <w:b/>
          <w:bCs/>
          <w:color w:val="auto"/>
          <w:sz w:val="40"/>
          <w:szCs w:val="40"/>
          <w:highlight w:val="none"/>
          <w:lang w:val="en-US" w:eastAsia="zh-CN"/>
        </w:rPr>
        <w:t>西昌市消防救援大队</w:t>
      </w:r>
    </w:p>
    <w:p w14:paraId="0F17A155">
      <w:pPr>
        <w:keepLines w:val="0"/>
        <w:pageBreakBefore w:val="0"/>
        <w:kinsoku/>
        <w:overflowPunct/>
        <w:bidi w:val="0"/>
        <w:spacing w:line="360" w:lineRule="auto"/>
        <w:ind w:firstLine="361" w:firstLineChars="100"/>
        <w:jc w:val="center"/>
        <w:rPr>
          <w:rFonts w:hint="eastAsia" w:hAnsi="宋体"/>
          <w:b/>
          <w:bCs/>
          <w:color w:val="auto"/>
          <w:sz w:val="36"/>
          <w:szCs w:val="36"/>
          <w:highlight w:val="none"/>
        </w:rPr>
      </w:pPr>
      <w:r>
        <w:rPr>
          <w:rFonts w:hint="eastAsia" w:hAnsi="宋体"/>
          <w:b/>
          <w:bCs/>
          <w:color w:val="auto"/>
          <w:sz w:val="36"/>
          <w:szCs w:val="36"/>
          <w:highlight w:val="none"/>
        </w:rPr>
        <w:t>四川</w:t>
      </w:r>
      <w:r>
        <w:rPr>
          <w:rFonts w:hint="eastAsia" w:hAnsi="宋体"/>
          <w:b/>
          <w:bCs/>
          <w:color w:val="auto"/>
          <w:sz w:val="36"/>
          <w:szCs w:val="36"/>
          <w:highlight w:val="none"/>
          <w:lang w:val="en-US" w:eastAsia="zh-CN"/>
        </w:rPr>
        <w:t>凉都</w:t>
      </w:r>
      <w:r>
        <w:rPr>
          <w:rFonts w:hint="eastAsia" w:hAnsi="宋体"/>
          <w:b/>
          <w:bCs/>
          <w:color w:val="auto"/>
          <w:sz w:val="36"/>
          <w:szCs w:val="36"/>
          <w:highlight w:val="none"/>
        </w:rPr>
        <w:t>招标代理有限公司</w:t>
      </w:r>
    </w:p>
    <w:p w14:paraId="15DA78E7">
      <w:pPr>
        <w:keepLines w:val="0"/>
        <w:pageBreakBefore w:val="0"/>
        <w:kinsoku/>
        <w:overflowPunct/>
        <w:bidi w:val="0"/>
        <w:spacing w:line="360" w:lineRule="auto"/>
        <w:ind w:firstLine="361" w:firstLineChars="100"/>
        <w:jc w:val="center"/>
        <w:rPr>
          <w:rFonts w:hint="eastAsia" w:hAnsi="宋体"/>
          <w:b/>
          <w:bCs/>
          <w:color w:val="auto"/>
          <w:sz w:val="36"/>
          <w:szCs w:val="36"/>
          <w:highlight w:val="none"/>
        </w:rPr>
      </w:pPr>
      <w:r>
        <w:rPr>
          <w:rFonts w:hint="eastAsia" w:hAnsi="宋体"/>
          <w:b/>
          <w:bCs/>
          <w:color w:val="auto"/>
          <w:sz w:val="36"/>
          <w:szCs w:val="36"/>
          <w:highlight w:val="none"/>
        </w:rPr>
        <w:t>共同编制</w:t>
      </w:r>
    </w:p>
    <w:p w14:paraId="43137BA5">
      <w:pPr>
        <w:keepLines w:val="0"/>
        <w:pageBreakBefore w:val="0"/>
        <w:kinsoku/>
        <w:overflowPunct/>
        <w:bidi w:val="0"/>
        <w:spacing w:line="360" w:lineRule="auto"/>
        <w:ind w:firstLine="361" w:firstLineChars="100"/>
        <w:jc w:val="center"/>
        <w:rPr>
          <w:rFonts w:hint="eastAsia" w:hAnsi="宋体"/>
          <w:b/>
          <w:bCs/>
          <w:color w:val="auto"/>
          <w:sz w:val="36"/>
          <w:szCs w:val="36"/>
          <w:highlight w:val="none"/>
          <w:lang w:eastAsia="zh-CN"/>
        </w:rPr>
      </w:pPr>
    </w:p>
    <w:p w14:paraId="4C678A18">
      <w:pPr>
        <w:keepLines w:val="0"/>
        <w:pageBreakBefore w:val="0"/>
        <w:kinsoku/>
        <w:overflowPunct/>
        <w:bidi w:val="0"/>
        <w:spacing w:line="360" w:lineRule="auto"/>
        <w:ind w:firstLine="361" w:firstLineChars="100"/>
        <w:jc w:val="center"/>
        <w:rPr>
          <w:rFonts w:hint="eastAsia" w:hAnsi="宋体"/>
          <w:b/>
          <w:bCs/>
          <w:color w:val="auto"/>
          <w:sz w:val="36"/>
          <w:szCs w:val="36"/>
          <w:highlight w:val="none"/>
        </w:rPr>
      </w:pPr>
      <w:r>
        <w:rPr>
          <w:rFonts w:hint="eastAsia" w:hAnsi="宋体"/>
          <w:b/>
          <w:bCs/>
          <w:color w:val="auto"/>
          <w:sz w:val="36"/>
          <w:szCs w:val="36"/>
          <w:highlight w:val="none"/>
        </w:rPr>
        <w:t>202</w:t>
      </w:r>
      <w:r>
        <w:rPr>
          <w:rFonts w:hint="eastAsia" w:hAnsi="宋体"/>
          <w:b/>
          <w:bCs/>
          <w:color w:val="auto"/>
          <w:sz w:val="36"/>
          <w:szCs w:val="36"/>
          <w:highlight w:val="none"/>
          <w:lang w:val="en-US" w:eastAsia="zh-CN"/>
        </w:rPr>
        <w:t>6</w:t>
      </w:r>
      <w:r>
        <w:rPr>
          <w:rFonts w:hint="eastAsia" w:hAnsi="宋体"/>
          <w:b/>
          <w:bCs/>
          <w:color w:val="auto"/>
          <w:sz w:val="36"/>
          <w:szCs w:val="36"/>
          <w:highlight w:val="none"/>
        </w:rPr>
        <w:t>年</w:t>
      </w:r>
      <w:r>
        <w:rPr>
          <w:rFonts w:hint="eastAsia" w:hAnsi="宋体"/>
          <w:b/>
          <w:bCs/>
          <w:color w:val="auto"/>
          <w:sz w:val="36"/>
          <w:szCs w:val="36"/>
          <w:highlight w:val="none"/>
          <w:lang w:val="en-US" w:eastAsia="zh-CN"/>
        </w:rPr>
        <w:t>5</w:t>
      </w:r>
      <w:r>
        <w:rPr>
          <w:rFonts w:hint="eastAsia" w:hAnsi="宋体"/>
          <w:b/>
          <w:bCs/>
          <w:color w:val="auto"/>
          <w:sz w:val="36"/>
          <w:szCs w:val="36"/>
          <w:highlight w:val="none"/>
        </w:rPr>
        <w:t>月</w:t>
      </w:r>
    </w:p>
    <w:p w14:paraId="2A36CE56">
      <w:pPr>
        <w:pStyle w:val="7"/>
        <w:keepLines w:val="0"/>
        <w:pageBreakBefore w:val="0"/>
        <w:kinsoku/>
        <w:overflowPunct/>
        <w:bidi w:val="0"/>
        <w:spacing w:before="0" w:after="0" w:line="360" w:lineRule="auto"/>
        <w:jc w:val="center"/>
        <w:rPr>
          <w:rFonts w:ascii="宋体" w:hAnsi="宋体" w:cs="宋体"/>
          <w:bCs w:val="0"/>
          <w:color w:val="auto"/>
          <w:sz w:val="36"/>
          <w:highlight w:val="none"/>
        </w:rPr>
        <w:sectPr>
          <w:headerReference r:id="rId5" w:type="first"/>
          <w:headerReference r:id="rId3" w:type="default"/>
          <w:footerReference r:id="rId6" w:type="default"/>
          <w:headerReference r:id="rId4" w:type="even"/>
          <w:pgSz w:w="11907" w:h="16840"/>
          <w:pgMar w:top="1440" w:right="1080" w:bottom="1440" w:left="1080" w:header="0" w:footer="0" w:gutter="0"/>
          <w:pgBorders>
            <w:top w:val="none" w:sz="0" w:space="0"/>
            <w:left w:val="none" w:sz="0" w:space="0"/>
            <w:bottom w:val="none" w:sz="0" w:space="0"/>
            <w:right w:val="none" w:sz="0" w:space="0"/>
          </w:pgBorders>
          <w:pgNumType w:start="0"/>
          <w:cols w:space="720" w:num="1"/>
          <w:titlePg/>
          <w:docGrid w:linePitch="312" w:charSpace="0"/>
        </w:sectPr>
      </w:pPr>
    </w:p>
    <w:p w14:paraId="2A418EF4">
      <w:pPr>
        <w:jc w:val="center"/>
        <w:rPr>
          <w:rFonts w:ascii="宋体" w:hAnsi="宋体" w:cs="宋体"/>
          <w:b/>
          <w:bCs/>
          <w:sz w:val="28"/>
          <w:szCs w:val="28"/>
        </w:rPr>
      </w:pPr>
      <w:r>
        <w:rPr>
          <w:rFonts w:hint="eastAsia" w:ascii="宋体" w:hAnsi="宋体" w:cs="宋体"/>
          <w:b/>
          <w:bCs/>
          <w:sz w:val="28"/>
          <w:szCs w:val="28"/>
        </w:rPr>
        <w:t>廉洁自律承诺书</w:t>
      </w:r>
    </w:p>
    <w:p w14:paraId="4F5EDE8C">
      <w:pPr>
        <w:spacing w:line="432" w:lineRule="auto"/>
        <w:ind w:firstLine="480" w:firstLineChars="200"/>
        <w:rPr>
          <w:rFonts w:ascii="宋体" w:hAnsi="宋体" w:cs="宋体"/>
          <w:sz w:val="24"/>
        </w:rPr>
      </w:pPr>
    </w:p>
    <w:p w14:paraId="191E76EB">
      <w:pPr>
        <w:spacing w:line="432" w:lineRule="auto"/>
        <w:ind w:firstLine="480" w:firstLineChars="200"/>
        <w:rPr>
          <w:rFonts w:ascii="宋体" w:hAnsi="宋体" w:cs="宋体"/>
          <w:sz w:val="24"/>
        </w:rPr>
      </w:pPr>
      <w:r>
        <w:rPr>
          <w:rFonts w:hint="eastAsia" w:ascii="宋体" w:hAnsi="宋体" w:cs="宋体"/>
          <w:sz w:val="24"/>
        </w:rPr>
        <w:t>为进一步规范四川凉都招标代理有限公司政府采购行为，维护政府采购制度，净化政府采购市场环境。四川凉都招标代理有限公司在代理政府采购事务过程中郑重承诺：</w:t>
      </w:r>
    </w:p>
    <w:p w14:paraId="4A6902DD">
      <w:pPr>
        <w:spacing w:line="432" w:lineRule="auto"/>
        <w:ind w:firstLine="480" w:firstLineChars="200"/>
        <w:rPr>
          <w:rFonts w:ascii="宋体" w:hAnsi="宋体" w:cs="宋体"/>
          <w:sz w:val="24"/>
        </w:rPr>
      </w:pPr>
      <w:r>
        <w:rPr>
          <w:rFonts w:hint="eastAsia" w:ascii="宋体" w:hAnsi="宋体" w:cs="宋体"/>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14:paraId="55C22A30">
      <w:pPr>
        <w:spacing w:line="432" w:lineRule="auto"/>
        <w:ind w:firstLine="480" w:firstLineChars="200"/>
        <w:rPr>
          <w:rFonts w:ascii="宋体" w:hAnsi="宋体" w:cs="宋体"/>
          <w:sz w:val="24"/>
        </w:rPr>
      </w:pPr>
      <w:r>
        <w:rPr>
          <w:rFonts w:hint="eastAsia" w:ascii="宋体" w:hAnsi="宋体" w:cs="宋体"/>
          <w:sz w:val="24"/>
        </w:rPr>
        <w:t>二、公司员工遵纪守法，不得以不正当手段争取、承揽代理政府采购事务和向任何单位和个人支付现金、实物或其他利益的行为。</w:t>
      </w:r>
    </w:p>
    <w:p w14:paraId="19FA10D0">
      <w:pPr>
        <w:spacing w:line="432" w:lineRule="auto"/>
        <w:ind w:firstLine="480" w:firstLineChars="200"/>
        <w:rPr>
          <w:rFonts w:ascii="宋体" w:hAnsi="宋体" w:cs="宋体"/>
          <w:sz w:val="24"/>
        </w:rPr>
      </w:pPr>
      <w:r>
        <w:rPr>
          <w:rFonts w:hint="eastAsia" w:ascii="宋体" w:hAnsi="宋体" w:cs="宋体"/>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14:paraId="23D71151">
      <w:pPr>
        <w:spacing w:line="432" w:lineRule="auto"/>
        <w:ind w:firstLine="480" w:firstLineChars="200"/>
        <w:rPr>
          <w:rFonts w:ascii="宋体" w:hAnsi="宋体" w:cs="宋体"/>
          <w:sz w:val="24"/>
        </w:rPr>
      </w:pPr>
      <w:r>
        <w:rPr>
          <w:rFonts w:hint="eastAsia" w:ascii="宋体" w:hAnsi="宋体" w:cs="宋体"/>
          <w:sz w:val="24"/>
        </w:rPr>
        <w:t>四、公司员工不得与供应商存在任何商业上的利害关系，不得在供应商单位兼职和任职，不得泄漏政府采购过程中的机密。</w:t>
      </w:r>
    </w:p>
    <w:p w14:paraId="5093C5CF">
      <w:pPr>
        <w:spacing w:line="432" w:lineRule="auto"/>
        <w:ind w:firstLine="480" w:firstLineChars="200"/>
        <w:rPr>
          <w:rFonts w:ascii="宋体" w:hAnsi="宋体" w:cs="宋体"/>
          <w:sz w:val="24"/>
        </w:rPr>
      </w:pPr>
      <w:r>
        <w:rPr>
          <w:rFonts w:hint="eastAsia" w:ascii="宋体" w:hAnsi="宋体" w:cs="宋体"/>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14:paraId="2123B971">
      <w:pPr>
        <w:spacing w:line="432" w:lineRule="auto"/>
        <w:ind w:firstLine="480" w:firstLineChars="200"/>
        <w:jc w:val="left"/>
        <w:rPr>
          <w:rFonts w:hint="default" w:ascii="宋体" w:hAnsi="宋体" w:eastAsia="宋体" w:cs="宋体"/>
          <w:sz w:val="24"/>
          <w:lang w:val="en-US" w:eastAsia="zh-CN"/>
        </w:rPr>
      </w:pPr>
      <w:r>
        <w:rPr>
          <w:rFonts w:hint="eastAsia" w:ascii="宋体" w:hAnsi="宋体" w:cs="宋体"/>
          <w:sz w:val="24"/>
        </w:rPr>
        <w:t>举报电话：0834-</w:t>
      </w:r>
      <w:r>
        <w:rPr>
          <w:rFonts w:hint="eastAsia" w:ascii="宋体" w:hAnsi="宋体" w:cs="宋体"/>
          <w:sz w:val="24"/>
          <w:lang w:val="en-US" w:eastAsia="zh-CN"/>
        </w:rPr>
        <w:t>3355330</w:t>
      </w:r>
    </w:p>
    <w:p w14:paraId="1F89F100">
      <w:pPr>
        <w:spacing w:line="432"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 xml:space="preserve">        </w:t>
      </w:r>
    </w:p>
    <w:p w14:paraId="552A34A5">
      <w:pPr>
        <w:spacing w:line="432" w:lineRule="auto"/>
        <w:ind w:firstLine="480" w:firstLineChars="200"/>
        <w:jc w:val="left"/>
        <w:rPr>
          <w:rFonts w:hint="eastAsia" w:ascii="宋体" w:hAnsi="宋体" w:cs="宋体"/>
          <w:sz w:val="24"/>
          <w:lang w:val="en-US" w:eastAsia="zh-CN"/>
        </w:rPr>
      </w:pPr>
    </w:p>
    <w:p w14:paraId="7EC87B22">
      <w:pPr>
        <w:spacing w:line="432" w:lineRule="auto"/>
        <w:ind w:firstLine="480" w:firstLineChars="200"/>
        <w:jc w:val="left"/>
        <w:rPr>
          <w:rFonts w:hint="eastAsia" w:ascii="宋体" w:hAnsi="宋体" w:cs="宋体"/>
          <w:sz w:val="24"/>
          <w:lang w:val="en-US" w:eastAsia="zh-CN"/>
        </w:rPr>
      </w:pPr>
    </w:p>
    <w:p w14:paraId="0A344E1D">
      <w:pPr>
        <w:spacing w:line="432" w:lineRule="auto"/>
        <w:ind w:firstLine="480" w:firstLineChars="200"/>
        <w:jc w:val="left"/>
        <w:rPr>
          <w:rFonts w:hint="default" w:ascii="宋体" w:hAnsi="宋体" w:cs="宋体"/>
          <w:sz w:val="24"/>
          <w:lang w:val="en-US" w:eastAsia="zh-CN"/>
        </w:rPr>
      </w:pPr>
      <w:r>
        <w:rPr>
          <w:rFonts w:hint="eastAsia" w:ascii="宋体" w:hAnsi="宋体" w:cs="宋体"/>
          <w:sz w:val="24"/>
          <w:lang w:val="en-US" w:eastAsia="zh-CN"/>
        </w:rPr>
        <w:t xml:space="preserve">  </w:t>
      </w:r>
    </w:p>
    <w:p w14:paraId="1E9AC947">
      <w:pPr>
        <w:jc w:val="center"/>
        <w:rPr>
          <w:rFonts w:hint="eastAsia" w:ascii="宋体" w:hAnsi="宋体" w:cs="宋体"/>
          <w:sz w:val="24"/>
        </w:rPr>
        <w:sectPr>
          <w:headerReference r:id="rId9" w:type="first"/>
          <w:footerReference r:id="rId11" w:type="first"/>
          <w:headerReference r:id="rId7" w:type="default"/>
          <w:footerReference r:id="rId10" w:type="default"/>
          <w:headerReference r:id="rId8" w:type="even"/>
          <w:pgSz w:w="11907" w:h="16840"/>
          <w:pgMar w:top="1440" w:right="1080" w:bottom="1440" w:left="1080" w:header="851" w:footer="992" w:gutter="0"/>
          <w:pgBorders>
            <w:top w:val="none" w:sz="0" w:space="0"/>
            <w:left w:val="none" w:sz="0" w:space="0"/>
            <w:bottom w:val="none" w:sz="0" w:space="0"/>
            <w:right w:val="none" w:sz="0" w:space="0"/>
          </w:pgBorders>
          <w:pgNumType w:start="1"/>
          <w:cols w:space="720" w:num="1"/>
          <w:titlePg/>
          <w:docGrid w:linePitch="312" w:charSpace="0"/>
        </w:sectPr>
      </w:pPr>
      <w:r>
        <w:rPr>
          <w:rFonts w:hint="eastAsia" w:ascii="宋体" w:hAnsi="宋体" w:cs="宋体"/>
          <w:sz w:val="24"/>
          <w:lang w:val="en-US" w:eastAsia="zh-CN"/>
        </w:rPr>
        <w:t xml:space="preserve">                                                   </w:t>
      </w:r>
      <w:r>
        <w:rPr>
          <w:rFonts w:hint="eastAsia" w:ascii="宋体" w:hAnsi="宋体" w:cs="宋体"/>
          <w:sz w:val="24"/>
        </w:rPr>
        <w:t>四川凉都招标代理有限公司</w:t>
      </w:r>
    </w:p>
    <w:p w14:paraId="27BE909A">
      <w:pPr>
        <w:jc w:val="center"/>
        <w:rPr>
          <w:rFonts w:ascii="宋体" w:hAnsi="宋体" w:cs="宋体"/>
          <w:b/>
          <w:bCs/>
          <w:sz w:val="28"/>
          <w:szCs w:val="28"/>
        </w:rPr>
      </w:pPr>
      <w:r>
        <w:rPr>
          <w:rFonts w:hint="eastAsia" w:ascii="宋体" w:hAnsi="宋体" w:cs="宋体"/>
          <w:b/>
          <w:bCs/>
          <w:sz w:val="28"/>
          <w:szCs w:val="28"/>
        </w:rPr>
        <w:t>温馨提示</w:t>
      </w:r>
    </w:p>
    <w:p w14:paraId="2C51E1D7">
      <w:pPr>
        <w:spacing w:line="432" w:lineRule="auto"/>
        <w:rPr>
          <w:rFonts w:ascii="宋体" w:hAnsi="宋体" w:cs="宋体"/>
          <w:sz w:val="24"/>
        </w:rPr>
      </w:pPr>
      <w:r>
        <w:rPr>
          <w:rFonts w:hint="eastAsia" w:ascii="宋体" w:hAnsi="宋体" w:cs="宋体"/>
          <w:sz w:val="24"/>
        </w:rPr>
        <w:t>各供应商：</w:t>
      </w:r>
    </w:p>
    <w:p w14:paraId="4917331C">
      <w:pPr>
        <w:spacing w:line="432" w:lineRule="auto"/>
        <w:ind w:firstLine="480" w:firstLineChars="200"/>
        <w:rPr>
          <w:rFonts w:ascii="宋体" w:hAnsi="宋体" w:cs="宋体"/>
          <w:sz w:val="24"/>
        </w:rPr>
      </w:pPr>
      <w:r>
        <w:rPr>
          <w:rFonts w:hint="eastAsia" w:ascii="宋体" w:hAnsi="宋体" w:cs="宋体"/>
          <w:sz w:val="24"/>
        </w:rPr>
        <w:t>欢迎参与本次采购活动，为优化政府采购营商环境，减少供应商参加政府采购活动成本，温馨提示如下：</w:t>
      </w:r>
    </w:p>
    <w:p w14:paraId="3D32DDA9">
      <w:pPr>
        <w:spacing w:line="432" w:lineRule="auto"/>
        <w:ind w:firstLine="480" w:firstLineChars="200"/>
        <w:rPr>
          <w:rFonts w:ascii="宋体" w:hAnsi="宋体" w:cs="宋体"/>
          <w:sz w:val="24"/>
        </w:rPr>
      </w:pPr>
      <w:r>
        <w:rPr>
          <w:rFonts w:hint="eastAsia" w:ascii="宋体" w:hAnsi="宋体" w:cs="宋体"/>
          <w:sz w:val="24"/>
        </w:rPr>
        <w:t>一、报名：注意报名的截止时间、报名的方式以及需要提供的资料，任何一项不满足的将拒绝接收。</w:t>
      </w:r>
    </w:p>
    <w:p w14:paraId="35892420">
      <w:pPr>
        <w:spacing w:line="432" w:lineRule="auto"/>
        <w:ind w:firstLine="480" w:firstLineChars="200"/>
        <w:rPr>
          <w:rFonts w:ascii="宋体" w:hAnsi="宋体" w:cs="宋体"/>
          <w:sz w:val="24"/>
        </w:rPr>
      </w:pPr>
      <w:r>
        <w:rPr>
          <w:rFonts w:hint="eastAsia" w:ascii="宋体" w:hAnsi="宋体" w:cs="宋体"/>
          <w:sz w:val="24"/>
        </w:rPr>
        <w:t>二、保证金：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本项目不交纳保证金）。</w:t>
      </w:r>
    </w:p>
    <w:p w14:paraId="29A6015E">
      <w:pPr>
        <w:spacing w:line="432" w:lineRule="auto"/>
        <w:ind w:firstLine="480" w:firstLineChars="200"/>
        <w:rPr>
          <w:rFonts w:ascii="宋体" w:hAnsi="宋体" w:cs="宋体"/>
          <w:sz w:val="24"/>
        </w:rPr>
      </w:pPr>
      <w:r>
        <w:rPr>
          <w:rFonts w:hint="eastAsia" w:ascii="宋体" w:hAnsi="宋体" w:cs="宋体"/>
          <w:sz w:val="24"/>
        </w:rPr>
        <w:t>三、制作投标（响应）文件：注意采购文件中的资格要求和实质性要求，任何一条不满足的将作无效处理。注意采购文件中的评分要求，未按要求提供证明材料的将不予认可。</w:t>
      </w:r>
    </w:p>
    <w:p w14:paraId="5200B2CD">
      <w:pPr>
        <w:spacing w:line="432" w:lineRule="auto"/>
        <w:ind w:firstLine="480" w:firstLineChars="200"/>
        <w:rPr>
          <w:rFonts w:ascii="宋体" w:hAnsi="宋体" w:cs="宋体"/>
          <w:sz w:val="24"/>
        </w:rPr>
      </w:pPr>
      <w:r>
        <w:rPr>
          <w:rFonts w:hint="eastAsia" w:ascii="宋体" w:hAnsi="宋体" w:cs="宋体"/>
          <w:sz w:val="24"/>
        </w:rPr>
        <w:t>四、投标（响应）：注意投标（响应）截止时间和递交文件的地点，未按要求密封或逾期送达的将拒绝接收。</w:t>
      </w:r>
    </w:p>
    <w:p w14:paraId="39C8E324">
      <w:pPr>
        <w:spacing w:line="432" w:lineRule="auto"/>
        <w:ind w:firstLine="480" w:firstLineChars="200"/>
        <w:rPr>
          <w:rFonts w:ascii="宋体" w:hAnsi="宋体" w:cs="宋体"/>
          <w:sz w:val="24"/>
        </w:rPr>
      </w:pPr>
      <w:r>
        <w:rPr>
          <w:rFonts w:hint="eastAsia" w:ascii="宋体" w:hAnsi="宋体" w:cs="宋体"/>
          <w:sz w:val="24"/>
        </w:rPr>
        <w:t>五、结果查询：结果公告将在发布采购公告的同一网站进行公布，供应商应自行关注，任何询问项目评审情况和中标（成交）情况的行为都将被拒绝。</w:t>
      </w:r>
    </w:p>
    <w:p w14:paraId="4E66C897">
      <w:pPr>
        <w:spacing w:line="432" w:lineRule="auto"/>
        <w:ind w:firstLine="480" w:firstLineChars="200"/>
        <w:rPr>
          <w:rFonts w:ascii="宋体" w:hAnsi="宋体" w:cs="宋体"/>
          <w:sz w:val="24"/>
        </w:rPr>
      </w:pPr>
      <w:r>
        <w:rPr>
          <w:rFonts w:hint="eastAsia" w:ascii="宋体" w:hAnsi="宋体" w:cs="宋体"/>
          <w:sz w:val="24"/>
        </w:rPr>
        <w:t>六、服务费：中标（成交）结果公布后，中标（成交）人应及时足额缴纳服务费，我司在收到服务费后才可开具发票。</w:t>
      </w:r>
    </w:p>
    <w:p w14:paraId="6F32C9DC">
      <w:pPr>
        <w:spacing w:line="432" w:lineRule="auto"/>
        <w:ind w:firstLine="480" w:firstLineChars="200"/>
        <w:rPr>
          <w:rFonts w:ascii="宋体" w:hAnsi="宋体" w:cs="宋体"/>
          <w:sz w:val="24"/>
        </w:rPr>
      </w:pPr>
      <w:r>
        <w:rPr>
          <w:rFonts w:hint="eastAsia" w:ascii="宋体" w:hAnsi="宋体" w:cs="宋体"/>
          <w:sz w:val="24"/>
        </w:rPr>
        <w:t>七、中标（成交）通知书：我司工作人员将在项目结果公告发布时通知中标（成交）的供应商领取中标（成交）通知书，中标（成交）人应携带单位介绍信原件及领取人身份证复印件（原件备查）前往我司办理领手续。</w:t>
      </w:r>
    </w:p>
    <w:p w14:paraId="09200175">
      <w:pPr>
        <w:spacing w:line="432" w:lineRule="auto"/>
        <w:ind w:firstLine="480" w:firstLineChars="200"/>
        <w:rPr>
          <w:rFonts w:ascii="宋体" w:hAnsi="宋体" w:cs="宋体"/>
          <w:sz w:val="24"/>
        </w:rPr>
      </w:pPr>
      <w:r>
        <w:rPr>
          <w:rFonts w:hint="eastAsia" w:ascii="宋体" w:hAnsi="宋体" w:cs="宋体"/>
          <w:sz w:val="24"/>
        </w:rPr>
        <w:t>八、采购合同：中标（成交）人应在招标文件规定的期限内凭中标（成交）通知书与采购人签订采购合同。</w:t>
      </w:r>
    </w:p>
    <w:p w14:paraId="32D4748D">
      <w:pPr>
        <w:pStyle w:val="3"/>
        <w:rPr>
          <w:rFonts w:ascii="宋体" w:hAnsi="宋体" w:cs="宋体"/>
          <w:sz w:val="24"/>
        </w:rPr>
      </w:pPr>
    </w:p>
    <w:p w14:paraId="0F3F9D69">
      <w:pPr>
        <w:jc w:val="center"/>
        <w:rPr>
          <w:rFonts w:hint="eastAsia" w:ascii="Calibri"/>
          <w:b/>
          <w:bCs/>
          <w:color w:val="FF0000"/>
          <w:sz w:val="44"/>
          <w:szCs w:val="44"/>
        </w:rPr>
      </w:pPr>
    </w:p>
    <w:p w14:paraId="415A2535">
      <w:pPr>
        <w:jc w:val="center"/>
        <w:rPr>
          <w:rFonts w:hint="eastAsia" w:ascii="Calibri"/>
          <w:b/>
          <w:bCs/>
          <w:color w:val="FF0000"/>
          <w:sz w:val="44"/>
          <w:szCs w:val="44"/>
        </w:rPr>
        <w:sectPr>
          <w:footerReference r:id="rId13" w:type="first"/>
          <w:footerReference r:id="rId12" w:type="default"/>
          <w:pgSz w:w="11907" w:h="16840"/>
          <w:pgMar w:top="1440" w:right="1080" w:bottom="1440" w:left="1080" w:header="851" w:footer="992" w:gutter="0"/>
          <w:pgBorders>
            <w:top w:val="none" w:sz="0" w:space="0"/>
            <w:left w:val="none" w:sz="0" w:space="0"/>
            <w:bottom w:val="none" w:sz="0" w:space="0"/>
            <w:right w:val="none" w:sz="0" w:space="0"/>
          </w:pgBorders>
          <w:pgNumType w:start="1"/>
          <w:cols w:space="720" w:num="1"/>
          <w:docGrid w:linePitch="312" w:charSpace="0"/>
        </w:sectPr>
      </w:pPr>
    </w:p>
    <w:p w14:paraId="4D747792">
      <w:pPr>
        <w:keepLines w:val="0"/>
        <w:pageBreakBefore w:val="0"/>
        <w:kinsoku/>
        <w:overflowPunct/>
        <w:bidi w:val="0"/>
        <w:spacing w:line="360" w:lineRule="auto"/>
        <w:ind w:firstLine="482" w:firstLineChars="100"/>
        <w:jc w:val="center"/>
        <w:rPr>
          <w:rFonts w:hint="eastAsia" w:hAnsi="宋体"/>
          <w:b/>
          <w:bCs/>
          <w:color w:val="auto"/>
          <w:sz w:val="48"/>
          <w:szCs w:val="48"/>
          <w:highlight w:val="none"/>
        </w:rPr>
      </w:pPr>
      <w:bookmarkStart w:id="4" w:name="_Toc12069"/>
      <w:r>
        <w:rPr>
          <w:rFonts w:hint="eastAsia" w:hAnsi="宋体"/>
          <w:b/>
          <w:bCs/>
          <w:color w:val="auto"/>
          <w:sz w:val="48"/>
          <w:szCs w:val="48"/>
          <w:highlight w:val="none"/>
        </w:rPr>
        <w:t>目    录</w:t>
      </w:r>
      <w:bookmarkEnd w:id="4"/>
    </w:p>
    <w:p w14:paraId="6B341EEF">
      <w:pPr>
        <w:keepLines w:val="0"/>
        <w:pageBreakBefore w:val="0"/>
        <w:kinsoku/>
        <w:overflowPunct/>
        <w:bidi w:val="0"/>
        <w:spacing w:line="360" w:lineRule="auto"/>
        <w:rPr>
          <w:rFonts w:hAnsi="宋体"/>
          <w:color w:val="auto"/>
          <w:highlight w:val="none"/>
        </w:rPr>
      </w:pPr>
    </w:p>
    <w:p w14:paraId="15AD2181">
      <w:pPr>
        <w:keepLines w:val="0"/>
        <w:pageBreakBefore w:val="0"/>
        <w:kinsoku/>
        <w:overflowPunct/>
        <w:bidi w:val="0"/>
        <w:spacing w:line="360" w:lineRule="auto"/>
        <w:rPr>
          <w:rFonts w:hAnsi="宋体"/>
          <w:color w:val="auto"/>
          <w:highlight w:val="none"/>
        </w:rPr>
      </w:pPr>
    </w:p>
    <w:p w14:paraId="2CEBD998">
      <w:pPr>
        <w:pStyle w:val="32"/>
        <w:keepLines w:val="0"/>
        <w:pageBreakBefore w:val="0"/>
        <w:tabs>
          <w:tab w:val="right" w:leader="dot" w:pos="9355"/>
        </w:tabs>
        <w:kinsoku/>
        <w:overflowPunct/>
        <w:bidi w:val="0"/>
        <w:spacing w:line="360" w:lineRule="auto"/>
        <w:rPr>
          <w:color w:val="auto"/>
          <w:highlight w:val="none"/>
        </w:rPr>
      </w:pPr>
      <w:r>
        <w:rPr>
          <w:rFonts w:hint="eastAsia"/>
          <w:color w:val="auto"/>
          <w:highlight w:val="none"/>
        </w:rPr>
        <w:fldChar w:fldCharType="begin"/>
      </w:r>
      <w:r>
        <w:rPr>
          <w:rFonts w:hint="eastAsia"/>
          <w:color w:val="auto"/>
          <w:highlight w:val="none"/>
        </w:rPr>
        <w:instrText xml:space="preserve">TOC \o "1-1" \h \u </w:instrText>
      </w:r>
      <w:r>
        <w:rPr>
          <w:rFonts w:hint="eastAsia"/>
          <w:color w:val="auto"/>
          <w:highlight w:val="none"/>
        </w:rPr>
        <w:fldChar w:fldCharType="separate"/>
      </w:r>
      <w:r>
        <w:rPr>
          <w:color w:val="auto"/>
          <w:highlight w:val="none"/>
        </w:rPr>
        <w:fldChar w:fldCharType="begin"/>
      </w:r>
      <w:r>
        <w:rPr>
          <w:color w:val="auto"/>
          <w:highlight w:val="none"/>
        </w:rPr>
        <w:instrText xml:space="preserve"> HYPERLINK \l "_Toc13740" </w:instrText>
      </w:r>
      <w:r>
        <w:rPr>
          <w:color w:val="auto"/>
          <w:highlight w:val="none"/>
        </w:rPr>
        <w:fldChar w:fldCharType="separate"/>
      </w:r>
      <w:r>
        <w:rPr>
          <w:rFonts w:hint="eastAsia"/>
          <w:color w:val="auto"/>
          <w:highlight w:val="none"/>
        </w:rPr>
        <w:t>第一章  投标邀请</w:t>
      </w:r>
      <w:r>
        <w:rPr>
          <w:color w:val="auto"/>
          <w:highlight w:val="none"/>
        </w:rPr>
        <w:tab/>
      </w:r>
      <w:r>
        <w:rPr>
          <w:color w:val="auto"/>
          <w:highlight w:val="none"/>
        </w:rPr>
        <w:fldChar w:fldCharType="begin"/>
      </w:r>
      <w:r>
        <w:rPr>
          <w:color w:val="auto"/>
          <w:highlight w:val="none"/>
        </w:rPr>
        <w:instrText xml:space="preserve"> PAGEREF _Toc13740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0F90F7AD">
      <w:pPr>
        <w:pStyle w:val="32"/>
        <w:keepLines w:val="0"/>
        <w:pageBreakBefore w:val="0"/>
        <w:tabs>
          <w:tab w:val="right" w:leader="dot" w:pos="9355"/>
        </w:tabs>
        <w:kinsoku/>
        <w:overflowPunct/>
        <w:bidi w:val="0"/>
        <w:spacing w:line="360" w:lineRule="auto"/>
        <w:rPr>
          <w:color w:val="auto"/>
          <w:highlight w:val="none"/>
        </w:rPr>
      </w:pPr>
      <w:r>
        <w:rPr>
          <w:color w:val="auto"/>
          <w:highlight w:val="none"/>
        </w:rPr>
        <w:fldChar w:fldCharType="begin"/>
      </w:r>
      <w:r>
        <w:rPr>
          <w:color w:val="auto"/>
          <w:highlight w:val="none"/>
        </w:rPr>
        <w:instrText xml:space="preserve"> HYPERLINK \l "_Toc25923" </w:instrText>
      </w:r>
      <w:r>
        <w:rPr>
          <w:color w:val="auto"/>
          <w:highlight w:val="none"/>
        </w:rPr>
        <w:fldChar w:fldCharType="separate"/>
      </w:r>
      <w:r>
        <w:rPr>
          <w:rFonts w:hint="eastAsia"/>
          <w:color w:val="auto"/>
          <w:highlight w:val="none"/>
        </w:rPr>
        <w:t>第二章  投标人须知</w:t>
      </w:r>
      <w:r>
        <w:rPr>
          <w:color w:val="auto"/>
          <w:highlight w:val="none"/>
        </w:rPr>
        <w:tab/>
      </w:r>
      <w:r>
        <w:rPr>
          <w:rFonts w:hint="eastAsia"/>
          <w:color w:val="auto"/>
          <w:highlight w:val="none"/>
          <w:lang w:val="en-US" w:eastAsia="zh-CN"/>
        </w:rPr>
        <w:t>5</w:t>
      </w:r>
      <w:r>
        <w:rPr>
          <w:color w:val="auto"/>
          <w:highlight w:val="none"/>
        </w:rPr>
        <w:fldChar w:fldCharType="end"/>
      </w:r>
    </w:p>
    <w:p w14:paraId="58B567B8">
      <w:pPr>
        <w:pStyle w:val="32"/>
        <w:keepLines w:val="0"/>
        <w:pageBreakBefore w:val="0"/>
        <w:tabs>
          <w:tab w:val="right" w:leader="dot" w:pos="9355"/>
        </w:tabs>
        <w:kinsoku/>
        <w:overflowPunct/>
        <w:bidi w:val="0"/>
        <w:spacing w:line="360" w:lineRule="auto"/>
        <w:rPr>
          <w:rFonts w:hint="eastAsia" w:eastAsia="宋体"/>
          <w:color w:val="auto"/>
          <w:highlight w:val="none"/>
          <w:lang w:eastAsia="zh-CN"/>
        </w:rPr>
      </w:pPr>
      <w:r>
        <w:rPr>
          <w:color w:val="auto"/>
          <w:highlight w:val="none"/>
        </w:rPr>
        <w:fldChar w:fldCharType="begin"/>
      </w:r>
      <w:r>
        <w:rPr>
          <w:color w:val="auto"/>
          <w:highlight w:val="none"/>
        </w:rPr>
        <w:instrText xml:space="preserve"> HYPERLINK \l "_Toc17003" </w:instrText>
      </w:r>
      <w:r>
        <w:rPr>
          <w:color w:val="auto"/>
          <w:highlight w:val="none"/>
        </w:rPr>
        <w:fldChar w:fldCharType="separate"/>
      </w:r>
      <w:r>
        <w:rPr>
          <w:rFonts w:hint="eastAsia"/>
          <w:color w:val="auto"/>
          <w:highlight w:val="none"/>
        </w:rPr>
        <w:t>第三章  投标文件格式</w:t>
      </w:r>
      <w:r>
        <w:rPr>
          <w:color w:val="auto"/>
          <w:highlight w:val="none"/>
        </w:rPr>
        <w:tab/>
      </w:r>
      <w:r>
        <w:rPr>
          <w:rFonts w:hint="eastAsia"/>
          <w:color w:val="auto"/>
          <w:highlight w:val="none"/>
        </w:rPr>
        <w:t>2</w:t>
      </w:r>
      <w:r>
        <w:rPr>
          <w:rFonts w:hint="eastAsia"/>
          <w:color w:val="auto"/>
          <w:highlight w:val="none"/>
        </w:rPr>
        <w:fldChar w:fldCharType="end"/>
      </w:r>
      <w:r>
        <w:rPr>
          <w:rFonts w:hint="eastAsia"/>
          <w:color w:val="auto"/>
          <w:highlight w:val="none"/>
          <w:lang w:val="en-US" w:eastAsia="zh-CN"/>
        </w:rPr>
        <w:t>2</w:t>
      </w:r>
    </w:p>
    <w:p w14:paraId="71AAEF7C">
      <w:pPr>
        <w:pStyle w:val="32"/>
        <w:keepLines w:val="0"/>
        <w:pageBreakBefore w:val="0"/>
        <w:tabs>
          <w:tab w:val="right" w:leader="dot" w:pos="9355"/>
        </w:tabs>
        <w:kinsoku/>
        <w:overflowPunct/>
        <w:bidi w:val="0"/>
        <w:spacing w:line="360" w:lineRule="auto"/>
        <w:rPr>
          <w:rFonts w:hint="eastAsia" w:eastAsia="宋体"/>
          <w:color w:val="auto"/>
          <w:highlight w:val="none"/>
          <w:lang w:eastAsia="zh-CN"/>
        </w:rPr>
      </w:pPr>
      <w:r>
        <w:rPr>
          <w:color w:val="auto"/>
          <w:highlight w:val="none"/>
        </w:rPr>
        <w:fldChar w:fldCharType="begin"/>
      </w:r>
      <w:r>
        <w:rPr>
          <w:color w:val="auto"/>
          <w:highlight w:val="none"/>
        </w:rPr>
        <w:instrText xml:space="preserve"> HYPERLINK \l "_Toc14680" </w:instrText>
      </w:r>
      <w:r>
        <w:rPr>
          <w:color w:val="auto"/>
          <w:highlight w:val="none"/>
        </w:rPr>
        <w:fldChar w:fldCharType="separate"/>
      </w:r>
      <w:r>
        <w:rPr>
          <w:rFonts w:hint="eastAsia"/>
          <w:color w:val="auto"/>
          <w:highlight w:val="none"/>
        </w:rPr>
        <w:t>第四章  投标人和投标产品的资格、资质性及其他类似效力要求</w:t>
      </w:r>
      <w:r>
        <w:rPr>
          <w:color w:val="auto"/>
          <w:highlight w:val="none"/>
        </w:rPr>
        <w:tab/>
      </w:r>
      <w:r>
        <w:rPr>
          <w:rFonts w:hint="eastAsia"/>
          <w:color w:val="auto"/>
          <w:highlight w:val="none"/>
        </w:rPr>
        <w:t>4</w:t>
      </w:r>
      <w:r>
        <w:rPr>
          <w:rFonts w:hint="eastAsia"/>
          <w:color w:val="auto"/>
          <w:highlight w:val="none"/>
        </w:rPr>
        <w:fldChar w:fldCharType="end"/>
      </w:r>
      <w:r>
        <w:rPr>
          <w:rFonts w:hint="eastAsia"/>
          <w:color w:val="auto"/>
          <w:highlight w:val="none"/>
          <w:lang w:val="en-US" w:eastAsia="zh-CN"/>
        </w:rPr>
        <w:t>3</w:t>
      </w:r>
    </w:p>
    <w:p w14:paraId="3DBB1E9D">
      <w:pPr>
        <w:pStyle w:val="32"/>
        <w:keepLines w:val="0"/>
        <w:pageBreakBefore w:val="0"/>
        <w:tabs>
          <w:tab w:val="right" w:leader="dot" w:pos="9355"/>
        </w:tabs>
        <w:kinsoku/>
        <w:overflowPunct/>
        <w:bidi w:val="0"/>
        <w:spacing w:line="360" w:lineRule="auto"/>
        <w:rPr>
          <w:rFonts w:hint="default"/>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"_Toc29399" </w:instrText>
      </w:r>
      <w:r>
        <w:rPr>
          <w:rFonts w:hint="eastAsia"/>
          <w:color w:val="auto"/>
          <w:highlight w:val="none"/>
        </w:rPr>
        <w:fldChar w:fldCharType="separate"/>
      </w:r>
      <w:r>
        <w:rPr>
          <w:rFonts w:hint="eastAsia"/>
          <w:color w:val="auto"/>
          <w:highlight w:val="none"/>
        </w:rPr>
        <w:t>第五章  投标人应当提供的资格、资质性及其他类似效力要求的相关证明材料</w:t>
      </w:r>
      <w:r>
        <w:rPr>
          <w:rFonts w:hint="eastAsia"/>
          <w:color w:val="auto"/>
          <w:highlight w:val="none"/>
        </w:rPr>
        <w:tab/>
      </w:r>
      <w:r>
        <w:rPr>
          <w:rFonts w:hint="eastAsia"/>
          <w:color w:val="auto"/>
          <w:highlight w:val="none"/>
        </w:rPr>
        <w:t>4</w:t>
      </w:r>
      <w:r>
        <w:rPr>
          <w:rFonts w:hint="eastAsia"/>
          <w:color w:val="auto"/>
          <w:highlight w:val="none"/>
        </w:rPr>
        <w:fldChar w:fldCharType="end"/>
      </w:r>
      <w:r>
        <w:rPr>
          <w:rFonts w:hint="eastAsia"/>
          <w:color w:val="auto"/>
          <w:highlight w:val="none"/>
          <w:lang w:val="en-US" w:eastAsia="zh-CN"/>
        </w:rPr>
        <w:t>4</w:t>
      </w:r>
    </w:p>
    <w:p w14:paraId="42101F70">
      <w:pPr>
        <w:pStyle w:val="32"/>
        <w:keepLines w:val="0"/>
        <w:pageBreakBefore w:val="0"/>
        <w:tabs>
          <w:tab w:val="right" w:leader="dot" w:pos="9355"/>
        </w:tabs>
        <w:kinsoku/>
        <w:overflowPunct/>
        <w:bidi w:val="0"/>
        <w:spacing w:line="360" w:lineRule="auto"/>
        <w:rPr>
          <w:rFonts w:hint="eastAsia"/>
          <w:color w:val="auto"/>
          <w:highlight w:val="none"/>
          <w:lang w:eastAsia="zh-CN"/>
        </w:rPr>
      </w:pPr>
      <w:r>
        <w:rPr>
          <w:rFonts w:hint="eastAsia"/>
          <w:color w:val="auto"/>
          <w:highlight w:val="none"/>
        </w:rPr>
        <w:fldChar w:fldCharType="begin"/>
      </w:r>
      <w:r>
        <w:rPr>
          <w:rFonts w:hint="eastAsia"/>
          <w:color w:val="auto"/>
          <w:highlight w:val="none"/>
        </w:rPr>
        <w:instrText xml:space="preserve"> HYPERLINK \l "_Toc20281" </w:instrText>
      </w:r>
      <w:r>
        <w:rPr>
          <w:rFonts w:hint="eastAsia"/>
          <w:color w:val="auto"/>
          <w:highlight w:val="none"/>
        </w:rPr>
        <w:fldChar w:fldCharType="separate"/>
      </w:r>
      <w:r>
        <w:rPr>
          <w:rFonts w:hint="eastAsia"/>
          <w:color w:val="auto"/>
          <w:highlight w:val="none"/>
        </w:rPr>
        <w:t>第六章  本项目技术、服务、政府采购履约主要条款及其他要求条款</w:t>
      </w:r>
      <w:r>
        <w:rPr>
          <w:rFonts w:hint="eastAsia"/>
          <w:color w:val="auto"/>
          <w:highlight w:val="none"/>
        </w:rPr>
        <w:tab/>
      </w:r>
      <w:r>
        <w:rPr>
          <w:rFonts w:hint="eastAsia"/>
          <w:color w:val="auto"/>
          <w:highlight w:val="none"/>
        </w:rPr>
        <w:t>4</w:t>
      </w:r>
      <w:r>
        <w:rPr>
          <w:rFonts w:hint="eastAsia"/>
          <w:color w:val="auto"/>
          <w:highlight w:val="none"/>
        </w:rPr>
        <w:fldChar w:fldCharType="end"/>
      </w:r>
      <w:r>
        <w:rPr>
          <w:rFonts w:hint="eastAsia"/>
          <w:color w:val="auto"/>
          <w:highlight w:val="none"/>
          <w:lang w:val="en-US" w:eastAsia="zh-CN"/>
        </w:rPr>
        <w:t>6</w:t>
      </w:r>
    </w:p>
    <w:p w14:paraId="5B64301A">
      <w:pPr>
        <w:pStyle w:val="32"/>
        <w:keepLines w:val="0"/>
        <w:pageBreakBefore w:val="0"/>
        <w:tabs>
          <w:tab w:val="right" w:leader="dot" w:pos="9355"/>
        </w:tabs>
        <w:kinsoku/>
        <w:overflowPunct/>
        <w:bidi w:val="0"/>
        <w:spacing w:line="360" w:lineRule="auto"/>
        <w:rPr>
          <w:rFonts w:hint="default"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"_Toc13409" </w:instrText>
      </w:r>
      <w:r>
        <w:rPr>
          <w:rFonts w:hint="eastAsia"/>
          <w:color w:val="auto"/>
          <w:highlight w:val="none"/>
        </w:rPr>
        <w:fldChar w:fldCharType="separate"/>
      </w:r>
      <w:r>
        <w:rPr>
          <w:rFonts w:hint="eastAsia"/>
          <w:color w:val="auto"/>
          <w:highlight w:val="none"/>
        </w:rPr>
        <w:t>第七章  评标办法</w:t>
      </w:r>
      <w:r>
        <w:rPr>
          <w:rFonts w:hint="eastAsia"/>
          <w:color w:val="auto"/>
          <w:highlight w:val="none"/>
        </w:rPr>
        <w:tab/>
      </w:r>
      <w:r>
        <w:rPr>
          <w:rFonts w:hint="eastAsia"/>
          <w:color w:val="auto"/>
          <w:highlight w:val="none"/>
        </w:rPr>
        <w:fldChar w:fldCharType="end"/>
      </w:r>
      <w:r>
        <w:rPr>
          <w:rFonts w:hint="eastAsia"/>
          <w:color w:val="auto"/>
          <w:highlight w:val="none"/>
          <w:lang w:val="en-US" w:eastAsia="zh-CN"/>
        </w:rPr>
        <w:t>57</w:t>
      </w:r>
    </w:p>
    <w:p w14:paraId="022EDC8D">
      <w:pPr>
        <w:pStyle w:val="32"/>
        <w:keepLines w:val="0"/>
        <w:pageBreakBefore w:val="0"/>
        <w:tabs>
          <w:tab w:val="right" w:leader="dot" w:pos="9355"/>
        </w:tabs>
        <w:kinsoku/>
        <w:overflowPunct/>
        <w:bidi w:val="0"/>
        <w:spacing w:line="360" w:lineRule="auto"/>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"_Toc5934" </w:instrText>
      </w:r>
      <w:r>
        <w:rPr>
          <w:color w:val="auto"/>
          <w:highlight w:val="none"/>
        </w:rPr>
        <w:fldChar w:fldCharType="separate"/>
      </w:r>
      <w:r>
        <w:rPr>
          <w:rFonts w:hint="eastAsia"/>
          <w:color w:val="auto"/>
          <w:highlight w:val="none"/>
        </w:rPr>
        <w:t>第八章  政府采购合同（草案）</w:t>
      </w:r>
      <w:r>
        <w:rPr>
          <w:color w:val="auto"/>
          <w:highlight w:val="none"/>
        </w:rPr>
        <w:tab/>
      </w:r>
      <w:r>
        <w:rPr>
          <w:rFonts w:hint="eastAsia"/>
          <w:color w:val="auto"/>
          <w:highlight w:val="none"/>
          <w:lang w:val="en-US" w:eastAsia="zh-CN"/>
        </w:rPr>
        <w:t>6</w:t>
      </w:r>
      <w:r>
        <w:rPr>
          <w:rFonts w:hint="eastAsia"/>
          <w:color w:val="auto"/>
          <w:highlight w:val="none"/>
        </w:rPr>
        <w:fldChar w:fldCharType="end"/>
      </w:r>
      <w:r>
        <w:rPr>
          <w:rFonts w:hint="eastAsia"/>
          <w:color w:val="auto"/>
          <w:highlight w:val="none"/>
          <w:lang w:val="en-US" w:eastAsia="zh-CN"/>
        </w:rPr>
        <w:t>8</w:t>
      </w:r>
    </w:p>
    <w:p w14:paraId="69B85B28">
      <w:pPr>
        <w:pStyle w:val="32"/>
        <w:keepLines w:val="0"/>
        <w:pageBreakBefore w:val="0"/>
        <w:tabs>
          <w:tab w:val="right" w:leader="dot" w:pos="9355"/>
        </w:tabs>
        <w:kinsoku/>
        <w:overflowPunct/>
        <w:bidi w:val="0"/>
        <w:spacing w:line="360" w:lineRule="auto"/>
        <w:rPr>
          <w:color w:val="auto"/>
          <w:highlight w:val="none"/>
        </w:rPr>
      </w:pPr>
    </w:p>
    <w:p w14:paraId="68A7D1A3">
      <w:pPr>
        <w:keepLines w:val="0"/>
        <w:pageBreakBefore w:val="0"/>
        <w:kinsoku/>
        <w:overflowPunct/>
        <w:bidi w:val="0"/>
        <w:spacing w:line="360" w:lineRule="auto"/>
        <w:jc w:val="center"/>
        <w:outlineLvl w:val="0"/>
        <w:rPr>
          <w:color w:val="auto"/>
          <w:highlight w:val="none"/>
        </w:rPr>
      </w:pPr>
      <w:r>
        <w:rPr>
          <w:rFonts w:hint="eastAsia"/>
          <w:color w:val="auto"/>
          <w:highlight w:val="none"/>
        </w:rPr>
        <w:fldChar w:fldCharType="end"/>
      </w:r>
      <w:bookmarkStart w:id="5" w:name="_Toc12289"/>
      <w:bookmarkStart w:id="6" w:name="_Toc13740"/>
      <w:bookmarkStart w:id="7" w:name="_Toc6743"/>
      <w:r>
        <w:rPr>
          <w:rFonts w:hint="eastAsia" w:hAnsi="宋体"/>
          <w:b/>
          <w:bCs/>
          <w:color w:val="auto"/>
          <w:sz w:val="36"/>
          <w:szCs w:val="36"/>
          <w:highlight w:val="none"/>
          <w:lang w:eastAsia="zh-CN"/>
        </w:rPr>
        <w:br w:type="page"/>
      </w:r>
      <w:r>
        <w:rPr>
          <w:rFonts w:hint="eastAsia" w:ascii="Cambria" w:hAnsi="Cambria" w:eastAsia="宋体" w:cs="Times New Roman"/>
          <w:b/>
          <w:bCs/>
          <w:color w:val="auto"/>
          <w:kern w:val="32"/>
          <w:sz w:val="32"/>
          <w:szCs w:val="32"/>
          <w:highlight w:val="none"/>
          <w:lang w:val="en-US" w:eastAsia="zh-CN" w:bidi="ar-SA"/>
        </w:rPr>
        <w:t xml:space="preserve">第一章  </w:t>
      </w:r>
      <w:bookmarkEnd w:id="2"/>
      <w:bookmarkEnd w:id="3"/>
      <w:r>
        <w:rPr>
          <w:rFonts w:hint="eastAsia" w:ascii="Cambria" w:hAnsi="Cambria" w:eastAsia="宋体" w:cs="Times New Roman"/>
          <w:b/>
          <w:bCs/>
          <w:color w:val="auto"/>
          <w:kern w:val="32"/>
          <w:sz w:val="32"/>
          <w:szCs w:val="32"/>
          <w:highlight w:val="none"/>
          <w:lang w:val="en-US" w:eastAsia="zh-CN" w:bidi="ar-SA"/>
        </w:rPr>
        <w:t>投标邀请</w:t>
      </w:r>
      <w:bookmarkEnd w:id="5"/>
      <w:bookmarkEnd w:id="6"/>
      <w:bookmarkEnd w:id="7"/>
    </w:p>
    <w:p w14:paraId="1A7E6B28">
      <w:pPr>
        <w:keepLines w:val="0"/>
        <w:pageBreakBefore w:val="0"/>
        <w:kinsoku/>
        <w:overflowPunct/>
        <w:bidi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四川凉都招标代理有限公司</w:t>
      </w:r>
      <w:r>
        <w:rPr>
          <w:rFonts w:hint="eastAsia" w:ascii="宋体" w:hAnsi="宋体"/>
          <w:color w:val="auto"/>
          <w:sz w:val="24"/>
          <w:highlight w:val="none"/>
        </w:rPr>
        <w:t>受</w:t>
      </w:r>
      <w:r>
        <w:rPr>
          <w:rFonts w:hint="eastAsia" w:ascii="宋体" w:hAnsi="宋体"/>
          <w:color w:val="auto"/>
          <w:sz w:val="24"/>
          <w:highlight w:val="none"/>
          <w:lang w:val="en-US" w:eastAsia="zh-CN"/>
        </w:rPr>
        <w:t>西昌市消防救援大队</w:t>
      </w:r>
      <w:r>
        <w:rPr>
          <w:rFonts w:hint="eastAsia" w:ascii="宋体" w:hAnsi="宋体"/>
          <w:color w:val="auto"/>
          <w:sz w:val="24"/>
          <w:highlight w:val="none"/>
        </w:rPr>
        <w:t>委托，拟对“</w:t>
      </w:r>
      <w:r>
        <w:rPr>
          <w:rFonts w:hint="eastAsia" w:ascii="宋体" w:hAnsi="宋体"/>
          <w:color w:val="auto"/>
          <w:sz w:val="24"/>
          <w:highlight w:val="none"/>
          <w:lang w:val="en-US" w:eastAsia="zh-CN"/>
        </w:rPr>
        <w:t>四川省凉山州西昌市消防救援大队体能训练精细化管理建设评估项目</w:t>
      </w:r>
      <w:r>
        <w:rPr>
          <w:rFonts w:hint="eastAsia" w:ascii="宋体" w:hAnsi="宋体"/>
          <w:color w:val="auto"/>
          <w:sz w:val="24"/>
          <w:highlight w:val="none"/>
        </w:rPr>
        <w:t>”进行国内公开招标，兹邀请符合本次招标要求的供应商参加投标。</w:t>
      </w:r>
    </w:p>
    <w:p w14:paraId="3C414270">
      <w:pPr>
        <w:keepLines w:val="0"/>
        <w:pageBreakBefore w:val="0"/>
        <w:kinsoku/>
        <w:overflowPunct/>
        <w:bidi w:val="0"/>
        <w:spacing w:line="360" w:lineRule="auto"/>
        <w:rPr>
          <w:rFonts w:hint="eastAsia" w:ascii="宋体" w:hAnsi="宋体" w:eastAsia="宋体"/>
          <w:color w:val="auto"/>
          <w:sz w:val="24"/>
          <w:highlight w:val="none"/>
          <w:lang w:eastAsia="zh-CN"/>
        </w:rPr>
      </w:pPr>
      <w:r>
        <w:rPr>
          <w:rFonts w:hint="eastAsia" w:ascii="宋体" w:hAnsi="宋体"/>
          <w:b/>
          <w:bCs/>
          <w:color w:val="auto"/>
          <w:sz w:val="24"/>
          <w:highlight w:val="none"/>
          <w:lang w:eastAsia="zh-CN"/>
        </w:rPr>
        <w:t>一、招标编号：SCLDFT20260520001</w:t>
      </w:r>
    </w:p>
    <w:p w14:paraId="63D540D8">
      <w:pPr>
        <w:keepLines w:val="0"/>
        <w:pageBreakBefore w:val="0"/>
        <w:kinsoku/>
        <w:overflowPunct/>
        <w:bidi w:val="0"/>
        <w:spacing w:line="360" w:lineRule="auto"/>
        <w:rPr>
          <w:rFonts w:hint="eastAsia" w:ascii="宋体" w:hAnsi="宋体"/>
          <w:color w:val="auto"/>
          <w:sz w:val="24"/>
          <w:highlight w:val="none"/>
          <w:lang w:val="en-US" w:eastAsia="zh-CN"/>
        </w:rPr>
      </w:pPr>
      <w:r>
        <w:rPr>
          <w:rFonts w:hint="eastAsia" w:ascii="宋体" w:hAnsi="宋体"/>
          <w:b/>
          <w:bCs/>
          <w:color w:val="auto"/>
          <w:sz w:val="24"/>
          <w:highlight w:val="none"/>
          <w:lang w:eastAsia="zh-CN"/>
        </w:rPr>
        <w:t>二、招标项目：</w:t>
      </w:r>
      <w:r>
        <w:rPr>
          <w:rFonts w:hint="eastAsia" w:ascii="宋体" w:hAnsi="宋体"/>
          <w:color w:val="auto"/>
          <w:sz w:val="24"/>
          <w:highlight w:val="none"/>
          <w:lang w:val="en-US" w:eastAsia="zh-CN"/>
        </w:rPr>
        <w:t>四川省凉山州西昌市消防救援大队体能训练精细化管理建设评估项目</w:t>
      </w:r>
    </w:p>
    <w:p w14:paraId="2DEFC3BB">
      <w:pPr>
        <w:keepLines w:val="0"/>
        <w:pageBreakBefore w:val="0"/>
        <w:kinsoku/>
        <w:overflowPunct/>
        <w:bidi w:val="0"/>
        <w:spacing w:line="360" w:lineRule="auto"/>
        <w:rPr>
          <w:rFonts w:hint="eastAsia" w:ascii="宋体" w:hAnsi="宋体"/>
          <w:color w:val="auto"/>
          <w:sz w:val="24"/>
          <w:highlight w:val="none"/>
          <w:lang w:eastAsia="zh-CN"/>
        </w:rPr>
      </w:pPr>
      <w:r>
        <w:rPr>
          <w:rFonts w:hint="eastAsia" w:ascii="宋体" w:hAnsi="宋体"/>
          <w:b/>
          <w:bCs/>
          <w:color w:val="auto"/>
          <w:sz w:val="24"/>
          <w:highlight w:val="none"/>
          <w:lang w:eastAsia="zh-CN"/>
        </w:rPr>
        <w:t>三、资金来源：</w:t>
      </w:r>
      <w:r>
        <w:rPr>
          <w:rFonts w:hint="eastAsia" w:ascii="宋体" w:hAnsi="宋体"/>
          <w:color w:val="auto"/>
          <w:sz w:val="24"/>
          <w:highlight w:val="none"/>
          <w:lang w:eastAsia="zh-CN"/>
        </w:rPr>
        <w:t>已落实。</w:t>
      </w:r>
    </w:p>
    <w:p w14:paraId="3155E0D1">
      <w:pPr>
        <w:keepLines w:val="0"/>
        <w:pageBreakBefore w:val="0"/>
        <w:kinsoku/>
        <w:overflowPunct/>
        <w:bidi w:val="0"/>
        <w:spacing w:line="360" w:lineRule="auto"/>
        <w:rPr>
          <w:rFonts w:hint="eastAsia" w:ascii="宋体" w:hAnsi="宋体"/>
          <w:color w:val="auto"/>
          <w:sz w:val="24"/>
          <w:highlight w:val="none"/>
          <w:lang w:eastAsia="zh-CN"/>
        </w:rPr>
      </w:pPr>
      <w:r>
        <w:rPr>
          <w:rFonts w:hint="eastAsia" w:ascii="宋体" w:hAnsi="宋体"/>
          <w:b/>
          <w:bCs/>
          <w:color w:val="auto"/>
          <w:sz w:val="24"/>
          <w:highlight w:val="none"/>
          <w:lang w:eastAsia="zh-CN"/>
        </w:rPr>
        <w:t>四、招标项目简介：</w:t>
      </w:r>
      <w:r>
        <w:rPr>
          <w:rFonts w:hint="eastAsia" w:ascii="宋体" w:hAnsi="宋体"/>
          <w:color w:val="auto"/>
          <w:sz w:val="24"/>
          <w:highlight w:val="none"/>
          <w:lang w:eastAsia="zh-CN"/>
        </w:rPr>
        <w:t>本项目共</w:t>
      </w:r>
      <w:r>
        <w:rPr>
          <w:rFonts w:hint="eastAsia" w:ascii="宋体" w:hAnsi="宋体"/>
          <w:color w:val="auto"/>
          <w:sz w:val="24"/>
          <w:highlight w:val="none"/>
          <w:lang w:val="en-US" w:eastAsia="zh-CN"/>
        </w:rPr>
        <w:t>1</w:t>
      </w:r>
      <w:r>
        <w:rPr>
          <w:rFonts w:hint="eastAsia" w:ascii="宋体" w:hAnsi="宋体"/>
          <w:color w:val="auto"/>
          <w:sz w:val="24"/>
          <w:highlight w:val="none"/>
          <w:lang w:eastAsia="zh-CN"/>
        </w:rPr>
        <w:t>个包（具体详见第六章“本项目技术、服务、政府采购履约主要条款及其他要求条款”）</w:t>
      </w:r>
    </w:p>
    <w:p w14:paraId="6AF6111B">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五、供应商参加本次政府采购活动，应当在提交投标文件前具备下列条件：</w:t>
      </w:r>
    </w:p>
    <w:p w14:paraId="18E52914">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1.投标人应具备《中华人民共和国政府采购法》第二十二条规定的下列条件：</w:t>
      </w:r>
    </w:p>
    <w:p w14:paraId="56AC0863">
      <w:pPr>
        <w:pStyle w:val="111"/>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rPr>
        <w:t>1.1具有独立承担民事责任的能力；</w:t>
      </w:r>
    </w:p>
    <w:p w14:paraId="6794D922">
      <w:pPr>
        <w:pStyle w:val="111"/>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rPr>
        <w:t>1.2具有良好的商业信誉和健全的财务会计制度；</w:t>
      </w:r>
    </w:p>
    <w:p w14:paraId="782061DD">
      <w:pPr>
        <w:pStyle w:val="111"/>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rPr>
        <w:t>1.3具有履行合同所必需的设备和专业技术能力；</w:t>
      </w:r>
    </w:p>
    <w:p w14:paraId="654F2E2F">
      <w:pPr>
        <w:pStyle w:val="111"/>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rPr>
        <w:t>1.4有依法缴纳税收和社会保障资金的良好记录；</w:t>
      </w:r>
      <w:r>
        <w:rPr>
          <w:rFonts w:hint="eastAsia" w:hAnsi="宋体" w:cs="宋体"/>
          <w:b w:val="0"/>
          <w:bCs/>
          <w:color w:val="auto"/>
          <w:highlight w:val="none"/>
        </w:rPr>
        <w:tab/>
      </w:r>
    </w:p>
    <w:p w14:paraId="7873D63D">
      <w:pPr>
        <w:pStyle w:val="111"/>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rPr>
        <w:t>1.5参加政府采购活动前三年内，在经营活动中没有重大违法记录；</w:t>
      </w:r>
      <w:r>
        <w:rPr>
          <w:rFonts w:hint="eastAsia" w:hAnsi="宋体" w:cs="宋体"/>
          <w:b w:val="0"/>
          <w:bCs/>
          <w:color w:val="auto"/>
          <w:highlight w:val="none"/>
        </w:rPr>
        <w:tab/>
      </w:r>
    </w:p>
    <w:p w14:paraId="46CD8455">
      <w:pPr>
        <w:pStyle w:val="111"/>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rPr>
        <w:t>1.6法律、行政法规规定的其他条件。</w:t>
      </w:r>
    </w:p>
    <w:p w14:paraId="78282A21">
      <w:pPr>
        <w:pStyle w:val="111"/>
        <w:keepLines w:val="0"/>
        <w:pageBreakBefore w:val="0"/>
        <w:numPr>
          <w:ilvl w:val="0"/>
          <w:numId w:val="2"/>
        </w:numPr>
        <w:kinsoku/>
        <w:overflowPunct/>
        <w:bidi w:val="0"/>
        <w:spacing w:line="360" w:lineRule="auto"/>
        <w:ind w:firstLine="0" w:firstLineChars="0"/>
        <w:rPr>
          <w:rFonts w:hint="eastAsia"/>
          <w:b/>
          <w:color w:val="auto"/>
          <w:highlight w:val="none"/>
        </w:rPr>
      </w:pPr>
      <w:r>
        <w:rPr>
          <w:rFonts w:hint="eastAsia" w:hAnsi="宋体" w:cs="宋体"/>
          <w:b/>
          <w:color w:val="auto"/>
          <w:highlight w:val="none"/>
        </w:rPr>
        <w:t>根据采购项目提出的特</w:t>
      </w:r>
      <w:r>
        <w:rPr>
          <w:rFonts w:hint="eastAsia"/>
          <w:b/>
          <w:color w:val="auto"/>
          <w:highlight w:val="none"/>
        </w:rPr>
        <w:t>殊条件：</w:t>
      </w:r>
      <w:r>
        <w:rPr>
          <w:rFonts w:hint="eastAsia"/>
          <w:b/>
          <w:color w:val="auto"/>
          <w:highlight w:val="none"/>
          <w:lang w:val="en-US" w:eastAsia="zh-CN"/>
        </w:rPr>
        <w:t>无。</w:t>
      </w:r>
    </w:p>
    <w:p w14:paraId="7331659D">
      <w:pPr>
        <w:pStyle w:val="111"/>
        <w:keepLines w:val="0"/>
        <w:pageBreakBefore w:val="0"/>
        <w:kinsoku/>
        <w:overflowPunct/>
        <w:bidi w:val="0"/>
        <w:spacing w:line="360" w:lineRule="auto"/>
        <w:ind w:left="0" w:leftChars="0" w:firstLine="0" w:firstLineChars="0"/>
        <w:rPr>
          <w:rFonts w:hint="eastAsia"/>
          <w:b/>
          <w:bCs w:val="0"/>
          <w:lang w:val="en-US" w:eastAsia="zh-CN"/>
        </w:rPr>
      </w:pPr>
      <w:r>
        <w:rPr>
          <w:rFonts w:hint="eastAsia"/>
          <w:b/>
          <w:bCs w:val="0"/>
          <w:lang w:val="en-US" w:eastAsia="zh-CN"/>
        </w:rPr>
        <w:t>3.</w:t>
      </w:r>
      <w:r>
        <w:rPr>
          <w:rFonts w:hint="eastAsia" w:ascii="宋体" w:hAnsi="宋体" w:eastAsia="宋体" w:cs="仿宋"/>
          <w:b/>
          <w:bCs w:val="0"/>
          <w:color w:val="auto"/>
          <w:kern w:val="0"/>
          <w:sz w:val="24"/>
          <w:highlight w:val="none"/>
          <w:lang w:val="en-US" w:eastAsia="zh-CN" w:bidi="ar-SA"/>
        </w:rPr>
        <w:t>落实政府采购政策需满足的资格要求：</w:t>
      </w:r>
    </w:p>
    <w:p w14:paraId="63D19A69">
      <w:pPr>
        <w:pStyle w:val="111"/>
        <w:keepLines w:val="0"/>
        <w:pageBreakBefore w:val="0"/>
        <w:numPr>
          <w:ilvl w:val="0"/>
          <w:numId w:val="0"/>
        </w:numPr>
        <w:kinsoku/>
        <w:overflowPunct/>
        <w:bidi w:val="0"/>
        <w:spacing w:line="360" w:lineRule="auto"/>
        <w:ind w:firstLine="240" w:firstLineChars="100"/>
        <w:rPr>
          <w:rFonts w:hint="default" w:eastAsia="宋体"/>
          <w:b w:val="0"/>
          <w:bCs/>
          <w:color w:val="auto"/>
          <w:highlight w:val="none"/>
          <w:lang w:val="en-US" w:eastAsia="zh-CN"/>
        </w:rPr>
      </w:pPr>
      <w:r>
        <w:rPr>
          <w:rFonts w:hint="eastAsia"/>
          <w:b w:val="0"/>
          <w:bCs/>
          <w:color w:val="auto"/>
          <w:highlight w:val="none"/>
          <w:lang w:val="en-US" w:eastAsia="zh-CN"/>
        </w:rPr>
        <w:t>3.1 本项目专门面向中小企业采购。</w:t>
      </w:r>
    </w:p>
    <w:p w14:paraId="3544F23D">
      <w:pPr>
        <w:pStyle w:val="111"/>
        <w:keepLines w:val="0"/>
        <w:pageBreakBefore w:val="0"/>
        <w:kinsoku/>
        <w:overflowPunct/>
        <w:bidi w:val="0"/>
        <w:spacing w:line="360" w:lineRule="auto"/>
        <w:ind w:left="0" w:leftChars="0" w:firstLine="0" w:firstLineChars="0"/>
        <w:rPr>
          <w:rFonts w:hint="eastAsia"/>
          <w:b/>
          <w:bCs w:val="0"/>
          <w:lang w:val="en-US" w:eastAsia="zh-CN"/>
        </w:rPr>
      </w:pPr>
      <w:r>
        <w:rPr>
          <w:rFonts w:hint="eastAsia"/>
          <w:b/>
          <w:bCs w:val="0"/>
          <w:lang w:val="en-US" w:eastAsia="zh-CN"/>
        </w:rPr>
        <w:t>4. 本项目不接受联合体投标。</w:t>
      </w:r>
      <w:r>
        <w:rPr>
          <w:rFonts w:hint="eastAsia"/>
          <w:b/>
          <w:bCs w:val="0"/>
          <w:lang w:val="en-US" w:eastAsia="zh-CN"/>
        </w:rPr>
        <w:tab/>
      </w:r>
    </w:p>
    <w:p w14:paraId="1ECD763C">
      <w:pPr>
        <w:pStyle w:val="111"/>
        <w:keepLines w:val="0"/>
        <w:pageBreakBefore w:val="0"/>
        <w:kinsoku/>
        <w:overflowPunct/>
        <w:bidi w:val="0"/>
        <w:spacing w:line="360" w:lineRule="auto"/>
        <w:ind w:left="0" w:leftChars="0" w:firstLine="0" w:firstLineChars="0"/>
        <w:rPr>
          <w:rFonts w:hint="default"/>
          <w:b w:val="0"/>
          <w:bCs/>
          <w:lang w:val="en-US" w:eastAsia="zh-CN"/>
        </w:rPr>
      </w:pPr>
    </w:p>
    <w:p w14:paraId="225CAEDE">
      <w:pPr>
        <w:keepLines w:val="0"/>
        <w:pageBreakBefore w:val="0"/>
        <w:kinsoku/>
        <w:overflowPunct/>
        <w:bidi w:val="0"/>
        <w:spacing w:line="360" w:lineRule="auto"/>
        <w:rPr>
          <w:rFonts w:ascii="宋体" w:hAnsi="宋体"/>
          <w:b/>
          <w:color w:val="auto"/>
          <w:sz w:val="24"/>
          <w:highlight w:val="none"/>
        </w:rPr>
      </w:pPr>
      <w:r>
        <w:rPr>
          <w:rFonts w:hint="eastAsia" w:ascii="宋体" w:hAnsi="宋体"/>
          <w:b/>
          <w:color w:val="auto"/>
          <w:sz w:val="24"/>
          <w:highlight w:val="none"/>
        </w:rPr>
        <w:t>六、严禁参加本次采购活动的供应商</w:t>
      </w:r>
    </w:p>
    <w:p w14:paraId="2F361A65">
      <w:pPr>
        <w:keepLines w:val="0"/>
        <w:pageBreakBefore w:val="0"/>
        <w:kinsoku/>
        <w:overflowPunct/>
        <w:bidi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根据《关于在政府采购活动中查询及使用信用记录有关问题的通知》（财库〔2016〕125号）的要求，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hint="eastAsia" w:hAnsi="宋体" w:cs="宋体"/>
          <w:color w:val="auto"/>
          <w:highlight w:val="none"/>
        </w:rPr>
        <w:t>（以联合体形式参加本项目采购活动，联合体成员存在不良信用记录的，视同联合体存在不良信用记录）</w:t>
      </w:r>
      <w:r>
        <w:rPr>
          <w:rFonts w:hint="eastAsia" w:ascii="宋体" w:hAnsi="宋体"/>
          <w:color w:val="auto"/>
          <w:sz w:val="24"/>
          <w:highlight w:val="none"/>
        </w:rPr>
        <w:t>。</w:t>
      </w:r>
    </w:p>
    <w:p w14:paraId="157B4B97">
      <w:pPr>
        <w:keepLines w:val="0"/>
        <w:pageBreakBefore w:val="0"/>
        <w:kinsoku/>
        <w:overflowPunct/>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2.为采购项目提供整体设计、规范编制或者项目管理、监理、检测等服务的供应商，不得参加本采购项目。供应商为采购人、采购代理机构在确定采购需求、编制</w:t>
      </w:r>
      <w:r>
        <w:rPr>
          <w:rFonts w:hint="eastAsia" w:ascii="宋体" w:hAnsi="宋体"/>
          <w:color w:val="auto"/>
          <w:sz w:val="24"/>
          <w:highlight w:val="none"/>
          <w:lang w:eastAsia="zh-CN"/>
        </w:rPr>
        <w:t>招标</w:t>
      </w:r>
      <w:r>
        <w:rPr>
          <w:rFonts w:hint="eastAsia" w:ascii="宋体" w:hAnsi="宋体"/>
          <w:color w:val="auto"/>
          <w:sz w:val="24"/>
          <w:highlight w:val="none"/>
        </w:rPr>
        <w:t>文件过程中提供咨询论证，其提供的咨询论证意见成为</w:t>
      </w:r>
      <w:r>
        <w:rPr>
          <w:rFonts w:hint="eastAsia" w:ascii="宋体" w:hAnsi="宋体"/>
          <w:color w:val="auto"/>
          <w:sz w:val="24"/>
          <w:highlight w:val="none"/>
          <w:lang w:eastAsia="zh-CN"/>
        </w:rPr>
        <w:t>招标</w:t>
      </w:r>
      <w:r>
        <w:rPr>
          <w:rFonts w:hint="eastAsia" w:ascii="宋体" w:hAnsi="宋体"/>
          <w:color w:val="auto"/>
          <w:sz w:val="24"/>
          <w:highlight w:val="none"/>
        </w:rPr>
        <w:t>文件中规定的供应商资格条件、</w:t>
      </w:r>
      <w:r>
        <w:rPr>
          <w:rFonts w:hint="eastAsia" w:ascii="宋体" w:hAnsi="宋体"/>
          <w:color w:val="auto"/>
          <w:sz w:val="24"/>
          <w:highlight w:val="none"/>
          <w:lang w:eastAsia="zh-CN"/>
        </w:rPr>
        <w:t>技术</w:t>
      </w:r>
      <w:r>
        <w:rPr>
          <w:rFonts w:hint="eastAsia" w:ascii="宋体" w:hAnsi="宋体"/>
          <w:color w:val="auto"/>
          <w:sz w:val="24"/>
          <w:highlight w:val="none"/>
        </w:rPr>
        <w:t>服务商务要求、评审因素和标准、采购合同等实质性内容条款的，视同为采购项目提供规范编制。</w:t>
      </w:r>
    </w:p>
    <w:p w14:paraId="46CC55A0">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七、招标文件获取时间、地点及售价：</w:t>
      </w:r>
    </w:p>
    <w:p w14:paraId="62DFB364">
      <w:pPr>
        <w:keepNext w:val="0"/>
        <w:keepLines w:val="0"/>
        <w:pageBreakBefore w:val="0"/>
        <w:kinsoku/>
        <w:overflowPunct/>
        <w:topLinePunct w:val="0"/>
        <w:autoSpaceDE/>
        <w:autoSpaceDN/>
        <w:bidi w:val="0"/>
        <w:adjustRightInd/>
        <w:snapToGrid/>
        <w:spacing w:line="48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color w:val="auto"/>
          <w:kern w:val="2"/>
          <w:sz w:val="24"/>
          <w:szCs w:val="24"/>
          <w:highlight w:val="none"/>
          <w:lang w:val="en-US" w:eastAsia="zh-CN"/>
        </w:rPr>
        <w:t>招标</w:t>
      </w:r>
      <w:r>
        <w:rPr>
          <w:rFonts w:hint="eastAsia" w:ascii="宋体" w:hAnsi="宋体" w:eastAsia="宋体" w:cs="宋体"/>
          <w:b/>
          <w:bCs/>
          <w:color w:val="auto"/>
          <w:kern w:val="2"/>
          <w:sz w:val="24"/>
          <w:szCs w:val="24"/>
          <w:highlight w:val="none"/>
        </w:rPr>
        <w:t>文件获取时间：</w:t>
      </w:r>
      <w:r>
        <w:rPr>
          <w:rFonts w:hint="eastAsia" w:ascii="宋体" w:hAnsi="宋体" w:cs="宋体"/>
          <w:b w:val="0"/>
          <w:bCs/>
          <w:color w:val="000000"/>
          <w:sz w:val="24"/>
          <w:szCs w:val="28"/>
          <w:highlight w:val="none"/>
          <w:lang w:eastAsia="zh-CN"/>
        </w:rPr>
        <w:t>招标文件</w:t>
      </w:r>
      <w:r>
        <w:rPr>
          <w:rFonts w:hint="eastAsia" w:ascii="宋体" w:hAnsi="宋体" w:eastAsia="宋体" w:cs="宋体"/>
          <w:color w:val="auto"/>
          <w:kern w:val="1"/>
          <w:sz w:val="24"/>
          <w:szCs w:val="24"/>
          <w:highlight w:val="none"/>
        </w:rPr>
        <w:t>自</w:t>
      </w:r>
      <w:r>
        <w:rPr>
          <w:rFonts w:hint="eastAsia" w:ascii="宋体" w:hAnsi="宋体" w:eastAsia="宋体" w:cs="宋体"/>
          <w:color w:val="auto"/>
          <w:kern w:val="1"/>
          <w:sz w:val="24"/>
          <w:szCs w:val="24"/>
          <w:highlight w:val="none"/>
          <w:lang w:val="en-US" w:eastAsia="zh-CN"/>
        </w:rPr>
        <w:t>2</w:t>
      </w:r>
      <w:r>
        <w:rPr>
          <w:rFonts w:hint="eastAsia" w:ascii="宋体" w:hAnsi="宋体" w:eastAsia="宋体" w:cs="宋体"/>
          <w:color w:val="auto"/>
          <w:sz w:val="24"/>
          <w:highlight w:val="none"/>
          <w:lang w:val="en-US" w:eastAsia="zh-CN"/>
        </w:rPr>
        <w:t>02</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年</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lang w:val="en-US" w:eastAsia="zh-CN"/>
        </w:rPr>
        <w:t>月</w:t>
      </w:r>
      <w:r>
        <w:rPr>
          <w:rFonts w:hint="eastAsia" w:ascii="宋体" w:hAnsi="宋体" w:cs="宋体"/>
          <w:color w:val="auto"/>
          <w:sz w:val="24"/>
          <w:highlight w:val="none"/>
          <w:u w:val="single"/>
          <w:lang w:val="en-US" w:eastAsia="zh-CN"/>
        </w:rPr>
        <w:t xml:space="preserve"> 26 </w:t>
      </w:r>
      <w:r>
        <w:rPr>
          <w:rFonts w:hint="eastAsia" w:ascii="宋体" w:hAnsi="宋体" w:eastAsia="宋体" w:cs="宋体"/>
          <w:color w:val="auto"/>
          <w:sz w:val="24"/>
          <w:highlight w:val="none"/>
          <w:lang w:val="en-US" w:eastAsia="zh-CN"/>
        </w:rPr>
        <w:t>日至202</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年</w:t>
      </w:r>
      <w:r>
        <w:rPr>
          <w:rFonts w:hint="eastAsia" w:ascii="宋体" w:hAnsi="宋体" w:cs="宋体"/>
          <w:color w:val="auto"/>
          <w:sz w:val="24"/>
          <w:highlight w:val="none"/>
          <w:u w:val="single"/>
          <w:lang w:val="en-US" w:eastAsia="zh-CN"/>
        </w:rPr>
        <w:t xml:space="preserve">  6 </w:t>
      </w:r>
      <w:r>
        <w:rPr>
          <w:rFonts w:hint="eastAsia" w:ascii="宋体" w:hAnsi="宋体" w:eastAsia="宋体" w:cs="宋体"/>
          <w:color w:val="auto"/>
          <w:sz w:val="24"/>
          <w:highlight w:val="none"/>
          <w:lang w:val="en-US" w:eastAsia="zh-CN"/>
        </w:rPr>
        <w:t>月</w:t>
      </w:r>
      <w:r>
        <w:rPr>
          <w:rFonts w:hint="eastAsia" w:ascii="宋体" w:hAnsi="宋体" w:cs="宋体"/>
          <w:color w:val="auto"/>
          <w:sz w:val="24"/>
          <w:highlight w:val="none"/>
          <w:u w:val="single"/>
          <w:lang w:val="en-US" w:eastAsia="zh-CN"/>
        </w:rPr>
        <w:t xml:space="preserve"> 1  </w:t>
      </w:r>
      <w:r>
        <w:rPr>
          <w:rFonts w:hint="eastAsia" w:ascii="宋体" w:hAnsi="宋体" w:eastAsia="宋体" w:cs="宋体"/>
          <w:color w:val="auto"/>
          <w:sz w:val="24"/>
          <w:highlight w:val="none"/>
          <w:lang w:val="en-US" w:eastAsia="zh-CN"/>
        </w:rPr>
        <w:t>日</w:t>
      </w:r>
      <w:r>
        <w:rPr>
          <w:rFonts w:hint="eastAsia" w:hAnsi="宋体" w:cs="宋体"/>
          <w:color w:val="auto"/>
          <w:sz w:val="24"/>
          <w:highlight w:val="none"/>
        </w:rPr>
        <w:t>（北京时间）</w:t>
      </w:r>
      <w:r>
        <w:rPr>
          <w:rFonts w:hint="eastAsia" w:ascii="宋体" w:hAnsi="宋体" w:cs="宋体"/>
          <w:color w:val="auto"/>
          <w:sz w:val="24"/>
          <w:highlight w:val="none"/>
          <w:lang w:val="en-US" w:eastAsia="zh-CN"/>
        </w:rPr>
        <w:t>，</w:t>
      </w:r>
      <w:r>
        <w:rPr>
          <w:rFonts w:ascii="宋体" w:hAnsi="宋体" w:eastAsia="宋体" w:cs="宋体"/>
          <w:sz w:val="24"/>
          <w:szCs w:val="24"/>
          <w:highlight w:val="none"/>
        </w:rPr>
        <w:t>每天上午9:00至12:00，下午14:00至17:00</w:t>
      </w:r>
      <w:r>
        <w:rPr>
          <w:rFonts w:hint="eastAsia" w:ascii="宋体" w:hAnsi="宋体" w:cs="宋体"/>
          <w:sz w:val="24"/>
          <w:szCs w:val="24"/>
          <w:highlight w:val="none"/>
          <w:lang w:val="en-US" w:eastAsia="zh-CN"/>
        </w:rPr>
        <w:t>在“四川联采招汇电子招标采购平台”(网址:http://www.sclczb.cn/)线上获取</w:t>
      </w:r>
      <w:r>
        <w:rPr>
          <w:rFonts w:ascii="宋体" w:hAnsi="宋体" w:eastAsia="宋体" w:cs="宋体"/>
          <w:sz w:val="24"/>
          <w:szCs w:val="24"/>
          <w:highlight w:val="none"/>
        </w:rPr>
        <w:t>。（北京时间，法定节假日除外）</w:t>
      </w:r>
      <w:r>
        <w:rPr>
          <w:rFonts w:hint="eastAsia" w:ascii="宋体" w:hAnsi="宋体" w:cs="宋体"/>
          <w:sz w:val="24"/>
          <w:szCs w:val="24"/>
          <w:highlight w:val="none"/>
          <w:lang w:val="en-US" w:eastAsia="zh-CN"/>
        </w:rPr>
        <w:t>获取招标文件时需上传加盖公章的营业执照扫描件</w:t>
      </w:r>
      <w:r>
        <w:rPr>
          <w:rFonts w:hint="eastAsia" w:ascii="宋体" w:hAnsi="宋体" w:eastAsia="宋体" w:cs="宋体"/>
          <w:color w:val="auto"/>
          <w:kern w:val="1"/>
          <w:sz w:val="24"/>
          <w:szCs w:val="24"/>
          <w:highlight w:val="none"/>
        </w:rPr>
        <w:t>。</w:t>
      </w:r>
      <w:r>
        <w:rPr>
          <w:rFonts w:hint="eastAsia" w:ascii="宋体" w:hAnsi="宋体" w:eastAsia="宋体" w:cs="宋体"/>
          <w:sz w:val="24"/>
          <w:szCs w:val="24"/>
          <w:highlight w:val="none"/>
        </w:rPr>
        <w:t xml:space="preserve"> </w:t>
      </w:r>
    </w:p>
    <w:p w14:paraId="007BF775">
      <w:pPr>
        <w:keepNext w:val="0"/>
        <w:keepLines w:val="0"/>
        <w:pageBreakBefore w:val="0"/>
        <w:kinsoku/>
        <w:overflowPunct/>
        <w:topLinePunct w:val="0"/>
        <w:autoSpaceDE/>
        <w:autoSpaceDN/>
        <w:bidi w:val="0"/>
        <w:adjustRightInd/>
        <w:snapToGrid/>
        <w:spacing w:line="520" w:lineRule="exact"/>
        <w:ind w:firstLine="482" w:firstLineChars="200"/>
        <w:textAlignment w:val="auto"/>
        <w:rPr>
          <w:rFonts w:ascii="宋体" w:hAnsi="宋体" w:eastAsia="宋体" w:cs="宋体"/>
          <w:b/>
          <w:bCs/>
          <w:sz w:val="24"/>
          <w:szCs w:val="24"/>
          <w:highlight w:val="none"/>
        </w:rPr>
      </w:pPr>
      <w:r>
        <w:rPr>
          <w:rFonts w:ascii="宋体" w:hAnsi="宋体" w:eastAsia="宋体" w:cs="宋体"/>
          <w:b/>
          <w:bCs/>
          <w:sz w:val="24"/>
          <w:szCs w:val="24"/>
          <w:highlight w:val="none"/>
        </w:rPr>
        <w:t>获取方式：</w:t>
      </w:r>
    </w:p>
    <w:p w14:paraId="4CB94D6E">
      <w:pPr>
        <w:numPr>
          <w:ilvl w:val="0"/>
          <w:numId w:val="0"/>
        </w:numPr>
        <w:spacing w:line="500" w:lineRule="exact"/>
        <w:ind w:firstLine="480" w:firstLineChars="200"/>
        <w:jc w:val="both"/>
        <w:rPr>
          <w:rFonts w:hint="eastAsia" w:ascii="宋体" w:hAnsi="宋体" w:cs="宋体"/>
          <w:sz w:val="24"/>
          <w:szCs w:val="24"/>
          <w:highlight w:val="none"/>
          <w:lang w:val="en-US" w:eastAsia="zh-CN"/>
        </w:rPr>
      </w:pPr>
      <w:r>
        <w:rPr>
          <w:rFonts w:ascii="宋体" w:hAnsi="宋体" w:eastAsia="宋体" w:cs="宋体"/>
          <w:sz w:val="24"/>
          <w:szCs w:val="24"/>
          <w:highlight w:val="none"/>
        </w:rPr>
        <w:t>网络获取</w:t>
      </w:r>
      <w:r>
        <w:rPr>
          <w:rFonts w:hint="eastAsia" w:ascii="宋体" w:hAnsi="宋体" w:cs="宋体"/>
          <w:sz w:val="24"/>
          <w:szCs w:val="24"/>
          <w:highlight w:val="none"/>
          <w:lang w:eastAsia="zh-CN"/>
        </w:rPr>
        <w:t>：投标人需提供营业执照副本或正本加盖投标人单位公章后扫描成</w:t>
      </w:r>
      <w:r>
        <w:rPr>
          <w:rFonts w:hint="eastAsia" w:ascii="宋体" w:hAnsi="宋体" w:cs="宋体"/>
          <w:sz w:val="24"/>
          <w:szCs w:val="24"/>
          <w:highlight w:val="none"/>
          <w:lang w:val="en-US" w:eastAsia="zh-CN"/>
        </w:rPr>
        <w:t>pdf文件，</w:t>
      </w:r>
      <w:r>
        <w:rPr>
          <w:rFonts w:hint="eastAsia" w:ascii="宋体" w:hAnsi="宋体" w:cs="宋体"/>
          <w:sz w:val="24"/>
          <w:szCs w:val="24"/>
          <w:highlight w:val="none"/>
          <w:lang w:eastAsia="zh-CN"/>
        </w:rPr>
        <w:t>进入“四川联采招汇电子招标采购平台”(网址:http://www.sclczb.cn/)，通过“标书获取报名系统”完成在线注册、登录、缴费</w:t>
      </w:r>
      <w:r>
        <w:rPr>
          <w:rFonts w:hint="eastAsia" w:ascii="宋体" w:hAnsi="宋体" w:cs="宋体"/>
          <w:sz w:val="24"/>
          <w:szCs w:val="24"/>
          <w:highlight w:val="none"/>
          <w:lang w:val="en-US" w:eastAsia="zh-CN"/>
        </w:rPr>
        <w:t>。</w:t>
      </w:r>
    </w:p>
    <w:p w14:paraId="2B456848">
      <w:pPr>
        <w:numPr>
          <w:ilvl w:val="0"/>
          <w:numId w:val="0"/>
        </w:numPr>
        <w:spacing w:line="500" w:lineRule="exact"/>
        <w:ind w:firstLine="480" w:firstLineChars="200"/>
        <w:jc w:val="both"/>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报名咨询电话：0834-3355330。</w:t>
      </w:r>
    </w:p>
    <w:p w14:paraId="5389FA3B">
      <w:pPr>
        <w:numPr>
          <w:ilvl w:val="0"/>
          <w:numId w:val="0"/>
        </w:numPr>
        <w:spacing w:line="500" w:lineRule="exact"/>
        <w:ind w:firstLine="482" w:firstLineChars="200"/>
        <w:jc w:val="both"/>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招标文件售价（纸质及电子档）：300.00元，招标文件售后不退，投标资格不能转让。</w:t>
      </w:r>
    </w:p>
    <w:p w14:paraId="4CE82D4B">
      <w:pPr>
        <w:numPr>
          <w:ilvl w:val="0"/>
          <w:numId w:val="0"/>
        </w:numPr>
        <w:spacing w:line="500" w:lineRule="exact"/>
        <w:ind w:firstLine="480" w:firstLineChars="200"/>
        <w:jc w:val="both"/>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特别说明：除明确要求在购买招标文件时需提供的证明资料外，参加本项目投标的投标人资格条件在评标时进行审查。投标人应在投标文件中按招标文件的规定和要求附上所有的资格证明文件，要求提供的复印件必须加盖单位印章。</w:t>
      </w:r>
    </w:p>
    <w:p w14:paraId="22122016">
      <w:pPr>
        <w:numPr>
          <w:ilvl w:val="0"/>
          <w:numId w:val="0"/>
        </w:numPr>
        <w:spacing w:line="50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提醒：无论招标文件是否收费，投标人请务必在招标文件发售截止时间前登录四川联采招汇电子招标采购平台，完成招标文件购买及下载操作，</w:t>
      </w:r>
      <w:r>
        <w:rPr>
          <w:rFonts w:ascii="宋体" w:hAnsi="宋体" w:eastAsia="宋体" w:cs="宋体"/>
          <w:sz w:val="24"/>
          <w:szCs w:val="24"/>
        </w:rPr>
        <w:t>否则将无法正常投标</w:t>
      </w:r>
      <w:r>
        <w:rPr>
          <w:rFonts w:hint="eastAsia" w:ascii="宋体" w:hAnsi="宋体" w:eastAsia="宋体" w:cs="宋体"/>
          <w:sz w:val="24"/>
          <w:szCs w:val="24"/>
          <w:lang w:eastAsia="zh-CN"/>
        </w:rPr>
        <w:t>。</w:t>
      </w:r>
    </w:p>
    <w:p w14:paraId="2CC917AA">
      <w:pPr>
        <w:numPr>
          <w:ilvl w:val="0"/>
          <w:numId w:val="0"/>
        </w:numPr>
        <w:spacing w:line="500" w:lineRule="exact"/>
        <w:ind w:firstLine="480" w:firstLineChars="200"/>
        <w:jc w:val="both"/>
        <w:rPr>
          <w:rFonts w:hint="eastAsia" w:ascii="宋体" w:hAnsi="宋体" w:cs="宋体"/>
          <w:sz w:val="24"/>
          <w:szCs w:val="24"/>
          <w:highlight w:val="none"/>
          <w:lang w:val="en-US" w:eastAsia="zh-CN"/>
        </w:rPr>
      </w:pPr>
    </w:p>
    <w:p w14:paraId="263FF83E">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八、投标截止时间和开标时间：</w:t>
      </w:r>
      <w:r>
        <w:rPr>
          <w:rFonts w:hint="eastAsia" w:asciiTheme="minorEastAsia" w:hAnsiTheme="minorEastAsia" w:eastAsiaTheme="minorEastAsia" w:cstheme="minorEastAsia"/>
          <w:bCs/>
          <w:color w:val="auto"/>
          <w:kern w:val="1"/>
          <w:sz w:val="24"/>
          <w:highlight w:val="none"/>
          <w:lang w:eastAsia="zh-CN"/>
        </w:rPr>
        <w:t>202</w:t>
      </w:r>
      <w:r>
        <w:rPr>
          <w:rFonts w:hint="eastAsia" w:asciiTheme="minorEastAsia" w:hAnsiTheme="minorEastAsia" w:eastAsiaTheme="minorEastAsia" w:cstheme="minorEastAsia"/>
          <w:bCs/>
          <w:color w:val="auto"/>
          <w:kern w:val="1"/>
          <w:sz w:val="24"/>
          <w:highlight w:val="none"/>
          <w:lang w:val="en-US" w:eastAsia="zh-CN"/>
        </w:rPr>
        <w:t>6</w:t>
      </w:r>
      <w:r>
        <w:rPr>
          <w:rFonts w:hint="eastAsia" w:asciiTheme="minorEastAsia" w:hAnsiTheme="minorEastAsia" w:eastAsiaTheme="minorEastAsia" w:cstheme="minorEastAsia"/>
          <w:bCs/>
          <w:color w:val="auto"/>
          <w:kern w:val="1"/>
          <w:sz w:val="24"/>
          <w:highlight w:val="none"/>
          <w:lang w:eastAsia="zh-CN"/>
        </w:rPr>
        <w:t>年</w:t>
      </w:r>
      <w:r>
        <w:rPr>
          <w:rFonts w:hint="eastAsia" w:ascii="宋体" w:hAnsi="宋体" w:cs="宋体"/>
          <w:color w:val="auto"/>
          <w:sz w:val="24"/>
          <w:highlight w:val="none"/>
          <w:u w:val="single"/>
          <w:lang w:val="en-US" w:eastAsia="zh-CN"/>
        </w:rPr>
        <w:t xml:space="preserve"> 6  </w:t>
      </w:r>
      <w:r>
        <w:rPr>
          <w:rFonts w:hint="eastAsia" w:asciiTheme="minorEastAsia" w:hAnsiTheme="minorEastAsia" w:eastAsiaTheme="minorEastAsia" w:cstheme="minorEastAsia"/>
          <w:bCs/>
          <w:color w:val="auto"/>
          <w:kern w:val="1"/>
          <w:sz w:val="24"/>
          <w:highlight w:val="none"/>
          <w:lang w:eastAsia="zh-CN"/>
        </w:rPr>
        <w:t>月</w:t>
      </w:r>
      <w:r>
        <w:rPr>
          <w:rFonts w:hint="eastAsia" w:ascii="宋体" w:hAnsi="宋体" w:cs="宋体"/>
          <w:color w:val="auto"/>
          <w:sz w:val="24"/>
          <w:highlight w:val="none"/>
          <w:u w:val="single"/>
          <w:lang w:val="en-US" w:eastAsia="zh-CN"/>
        </w:rPr>
        <w:t xml:space="preserve"> 16  </w:t>
      </w:r>
      <w:r>
        <w:rPr>
          <w:rFonts w:hint="eastAsia" w:asciiTheme="minorEastAsia" w:hAnsiTheme="minorEastAsia" w:eastAsiaTheme="minorEastAsia" w:cstheme="minorEastAsia"/>
          <w:bCs/>
          <w:color w:val="auto"/>
          <w:kern w:val="1"/>
          <w:sz w:val="24"/>
          <w:highlight w:val="none"/>
          <w:lang w:eastAsia="zh-CN"/>
        </w:rPr>
        <w:t>日</w:t>
      </w:r>
      <w:r>
        <w:rPr>
          <w:rFonts w:hint="eastAsia" w:ascii="宋体" w:hAnsi="宋体" w:cs="宋体"/>
          <w:color w:val="auto"/>
          <w:sz w:val="24"/>
          <w:highlight w:val="none"/>
          <w:u w:val="single"/>
          <w:lang w:val="en-US" w:eastAsia="zh-CN"/>
        </w:rPr>
        <w:t xml:space="preserve"> 10  </w:t>
      </w:r>
      <w:r>
        <w:rPr>
          <w:rFonts w:hint="eastAsia" w:asciiTheme="minorEastAsia" w:hAnsiTheme="minorEastAsia" w:eastAsiaTheme="minorEastAsia" w:cstheme="minorEastAsia"/>
          <w:bCs/>
          <w:color w:val="auto"/>
          <w:kern w:val="1"/>
          <w:sz w:val="24"/>
          <w:highlight w:val="none"/>
          <w:lang w:eastAsia="zh-CN"/>
        </w:rPr>
        <w:t>时</w:t>
      </w:r>
      <w:r>
        <w:rPr>
          <w:rFonts w:hint="eastAsia" w:ascii="宋体" w:hAnsi="宋体" w:cs="宋体"/>
          <w:color w:val="auto"/>
          <w:sz w:val="24"/>
          <w:highlight w:val="none"/>
          <w:u w:val="single"/>
          <w:lang w:val="en-US" w:eastAsia="zh-CN"/>
        </w:rPr>
        <w:t xml:space="preserve"> 00  </w:t>
      </w:r>
      <w:r>
        <w:rPr>
          <w:rFonts w:hint="eastAsia" w:asciiTheme="minorEastAsia" w:hAnsiTheme="minorEastAsia" w:eastAsiaTheme="minorEastAsia" w:cstheme="minorEastAsia"/>
          <w:bCs/>
          <w:color w:val="auto"/>
          <w:kern w:val="1"/>
          <w:sz w:val="24"/>
          <w:highlight w:val="none"/>
          <w:lang w:eastAsia="zh-CN"/>
        </w:rPr>
        <w:t>分（北京时间）</w:t>
      </w:r>
      <w:r>
        <w:rPr>
          <w:rFonts w:hint="eastAsia" w:ascii="宋体" w:hAnsi="宋体"/>
          <w:b/>
          <w:bCs/>
          <w:color w:val="auto"/>
          <w:sz w:val="24"/>
          <w:highlight w:val="none"/>
          <w:lang w:eastAsia="zh-CN"/>
        </w:rPr>
        <w:t>。</w:t>
      </w:r>
      <w:r>
        <w:rPr>
          <w:rFonts w:hint="eastAsia" w:ascii="宋体" w:hAnsi="宋体" w:cs="宋体"/>
          <w:b w:val="0"/>
          <w:bCs/>
          <w:color w:val="000000"/>
          <w:sz w:val="24"/>
          <w:szCs w:val="28"/>
          <w:highlight w:val="none"/>
          <w:lang w:val="en-US" w:eastAsia="zh-CN"/>
        </w:rPr>
        <w:t>投标人</w:t>
      </w:r>
      <w:r>
        <w:rPr>
          <w:rFonts w:hint="eastAsia" w:ascii="宋体" w:hAnsi="宋体" w:eastAsia="宋体" w:cs="宋体"/>
          <w:b w:val="0"/>
          <w:bCs/>
          <w:color w:val="000000"/>
          <w:sz w:val="24"/>
          <w:szCs w:val="28"/>
          <w:highlight w:val="none"/>
          <w:lang w:val="en-US" w:eastAsia="zh-CN"/>
        </w:rPr>
        <w:t>须在采购公告（或更正公告）规定的递交截止时间前上传</w:t>
      </w:r>
      <w:r>
        <w:rPr>
          <w:rFonts w:hint="eastAsia" w:ascii="宋体" w:hAnsi="宋体" w:cs="宋体"/>
          <w:b w:val="0"/>
          <w:bCs/>
          <w:color w:val="000000"/>
          <w:sz w:val="24"/>
          <w:szCs w:val="28"/>
          <w:highlight w:val="none"/>
          <w:lang w:val="en-US" w:eastAsia="zh-CN"/>
        </w:rPr>
        <w:t>投标文件</w:t>
      </w:r>
      <w:r>
        <w:rPr>
          <w:rFonts w:hint="eastAsia" w:ascii="宋体" w:hAnsi="宋体" w:eastAsia="宋体" w:cs="宋体"/>
          <w:b w:val="0"/>
          <w:bCs/>
          <w:color w:val="000000"/>
          <w:sz w:val="24"/>
          <w:szCs w:val="28"/>
          <w:highlight w:val="none"/>
          <w:lang w:val="en-US" w:eastAsia="zh-CN"/>
        </w:rPr>
        <w:t>，并在</w:t>
      </w:r>
      <w:r>
        <w:rPr>
          <w:rFonts w:hint="eastAsia" w:ascii="宋体" w:hAnsi="宋体" w:cs="宋体"/>
          <w:b w:val="0"/>
          <w:bCs/>
          <w:color w:val="000000"/>
          <w:sz w:val="24"/>
          <w:szCs w:val="28"/>
          <w:highlight w:val="none"/>
          <w:lang w:val="en-US" w:eastAsia="zh-CN"/>
        </w:rPr>
        <w:t>投标文件</w:t>
      </w:r>
      <w:r>
        <w:rPr>
          <w:rFonts w:hint="eastAsia" w:ascii="宋体" w:hAnsi="宋体" w:eastAsia="宋体" w:cs="宋体"/>
          <w:b w:val="0"/>
          <w:bCs/>
          <w:color w:val="000000"/>
          <w:sz w:val="24"/>
          <w:szCs w:val="28"/>
          <w:highlight w:val="none"/>
          <w:lang w:val="en-US" w:eastAsia="zh-CN"/>
        </w:rPr>
        <w:t>开启时间于开标大厅签到解密。</w:t>
      </w:r>
    </w:p>
    <w:p w14:paraId="30229EAB">
      <w:pPr>
        <w:keepLines w:val="0"/>
        <w:pageBreakBefore w:val="0"/>
        <w:kinsoku/>
        <w:overflowPunct/>
        <w:bidi w:val="0"/>
        <w:spacing w:line="360" w:lineRule="auto"/>
        <w:rPr>
          <w:rFonts w:hint="eastAsia" w:ascii="宋体" w:hAnsi="宋体"/>
          <w:b/>
          <w:bCs/>
          <w:color w:val="auto"/>
          <w:sz w:val="24"/>
          <w:highlight w:val="none"/>
          <w:lang w:eastAsia="zh-CN"/>
        </w:rPr>
      </w:pPr>
    </w:p>
    <w:p w14:paraId="124587E4">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九、开标地点：</w:t>
      </w:r>
      <w:r>
        <w:rPr>
          <w:rFonts w:hint="eastAsia" w:ascii="宋体" w:hAnsi="宋体" w:eastAsia="宋体" w:cs="宋体"/>
          <w:b/>
          <w:color w:val="000000"/>
          <w:sz w:val="24"/>
          <w:szCs w:val="28"/>
          <w:highlight w:val="none"/>
          <w:lang w:val="en-US"/>
        </w:rPr>
        <w:t>四川联采招汇电子招标采购平台</w:t>
      </w:r>
      <w:r>
        <w:rPr>
          <w:rFonts w:hint="eastAsia" w:ascii="宋体" w:hAnsi="宋体" w:eastAsia="宋体" w:cs="宋体"/>
          <w:b/>
          <w:color w:val="000000"/>
          <w:sz w:val="24"/>
          <w:szCs w:val="28"/>
          <w:highlight w:val="none"/>
          <w:lang w:val="en-US" w:eastAsia="zh-CN"/>
        </w:rPr>
        <w:t>线上开标</w:t>
      </w:r>
      <w:r>
        <w:rPr>
          <w:rFonts w:hint="eastAsia" w:ascii="宋体" w:hAnsi="宋体" w:eastAsia="宋体" w:cs="宋体"/>
          <w:b/>
          <w:color w:val="000000"/>
          <w:sz w:val="24"/>
          <w:szCs w:val="28"/>
          <w:highlight w:val="none"/>
          <w:lang w:val="en-US"/>
        </w:rPr>
        <w:t>。</w:t>
      </w:r>
    </w:p>
    <w:p w14:paraId="64F5CE0F">
      <w:pPr>
        <w:keepLines w:val="0"/>
        <w:pageBreakBefore w:val="0"/>
        <w:kinsoku/>
        <w:overflowPunct/>
        <w:bidi w:val="0"/>
        <w:spacing w:line="360" w:lineRule="auto"/>
        <w:rPr>
          <w:rFonts w:hint="eastAsia" w:ascii="宋体" w:hAnsi="宋体"/>
          <w:b/>
          <w:bCs/>
          <w:color w:val="auto"/>
          <w:sz w:val="24"/>
          <w:highlight w:val="none"/>
          <w:lang w:eastAsia="zh-CN"/>
        </w:rPr>
      </w:pPr>
    </w:p>
    <w:p w14:paraId="067BB093">
      <w:pPr>
        <w:keepLines w:val="0"/>
        <w:pageBreakBefore w:val="0"/>
        <w:kinsoku/>
        <w:overflowPunct/>
        <w:bidi w:val="0"/>
        <w:spacing w:line="360" w:lineRule="auto"/>
        <w:rPr>
          <w:rFonts w:hint="eastAsia" w:ascii="宋体" w:hAnsi="宋体"/>
          <w:b w:val="0"/>
          <w:bCs w:val="0"/>
          <w:color w:val="auto"/>
          <w:sz w:val="24"/>
          <w:highlight w:val="none"/>
          <w:lang w:eastAsia="zh-CN"/>
        </w:rPr>
      </w:pPr>
      <w:r>
        <w:rPr>
          <w:rFonts w:hint="eastAsia" w:ascii="宋体" w:hAnsi="宋体"/>
          <w:b/>
          <w:bCs/>
          <w:color w:val="auto"/>
          <w:sz w:val="24"/>
          <w:highlight w:val="none"/>
          <w:lang w:eastAsia="zh-CN"/>
        </w:rPr>
        <w:t>十、</w:t>
      </w:r>
      <w:r>
        <w:rPr>
          <w:rFonts w:hint="eastAsia" w:ascii="宋体" w:hAnsi="宋体"/>
          <w:b w:val="0"/>
          <w:bCs w:val="0"/>
          <w:color w:val="auto"/>
          <w:sz w:val="24"/>
          <w:highlight w:val="none"/>
          <w:lang w:eastAsia="zh-CN"/>
        </w:rPr>
        <w:t>本投标邀请</w:t>
      </w:r>
      <w:r>
        <w:rPr>
          <w:rFonts w:hint="eastAsia" w:ascii="宋体" w:hAnsi="宋体" w:cs="宋体"/>
          <w:b w:val="0"/>
          <w:bCs w:val="0"/>
          <w:color w:val="auto"/>
          <w:sz w:val="24"/>
          <w:highlight w:val="none"/>
        </w:rPr>
        <w:t>在</w:t>
      </w:r>
      <w:bookmarkStart w:id="8" w:name="OLE_LINK1"/>
      <w:r>
        <w:rPr>
          <w:rFonts w:hint="eastAsia" w:ascii="宋体" w:hAnsi="宋体" w:cs="宋体"/>
          <w:b w:val="0"/>
          <w:bCs w:val="0"/>
          <w:color w:val="auto"/>
          <w:sz w:val="24"/>
          <w:highlight w:val="none"/>
          <w:lang w:eastAsia="zh-CN"/>
        </w:rPr>
        <w:t>“中国政府采购网</w:t>
      </w:r>
      <w:bookmarkEnd w:id="8"/>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eastAsia="zh-CN"/>
        </w:rPr>
        <w:t>http://www.ccgp.gov.cn/</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和</w:t>
      </w:r>
      <w:r>
        <w:rPr>
          <w:rFonts w:hint="eastAsia" w:ascii="宋体" w:hAnsi="宋体" w:eastAsia="宋体" w:cs="宋体"/>
          <w:b w:val="0"/>
          <w:bCs w:val="0"/>
          <w:color w:val="000000"/>
          <w:sz w:val="24"/>
          <w:szCs w:val="28"/>
          <w:highlight w:val="none"/>
          <w:lang w:val="en-US" w:eastAsia="zh-CN"/>
        </w:rPr>
        <w:t>“四川联采招汇电子招标采购平台”(网址:http://www.sclczb.cn/)</w:t>
      </w:r>
      <w:r>
        <w:rPr>
          <w:rFonts w:hint="eastAsia" w:ascii="宋体" w:hAnsi="宋体"/>
          <w:b w:val="0"/>
          <w:bCs w:val="0"/>
          <w:color w:val="auto"/>
          <w:sz w:val="24"/>
          <w:highlight w:val="none"/>
          <w:lang w:eastAsia="zh-CN"/>
        </w:rPr>
        <w:t>上以公告形式发布。</w:t>
      </w:r>
    </w:p>
    <w:p w14:paraId="2C6991B8">
      <w:pPr>
        <w:keepLines w:val="0"/>
        <w:pageBreakBefore w:val="0"/>
        <w:kinsoku/>
        <w:overflowPunct/>
        <w:bidi w:val="0"/>
        <w:spacing w:line="360" w:lineRule="auto"/>
        <w:rPr>
          <w:rFonts w:hint="eastAsia" w:ascii="宋体" w:hAnsi="宋体"/>
          <w:b/>
          <w:bCs/>
          <w:color w:val="auto"/>
          <w:sz w:val="24"/>
          <w:highlight w:val="none"/>
          <w:lang w:eastAsia="zh-CN"/>
        </w:rPr>
      </w:pPr>
    </w:p>
    <w:p w14:paraId="4C5FC09C">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十一、联系方式：</w:t>
      </w:r>
    </w:p>
    <w:p w14:paraId="2EB310A5">
      <w:pPr>
        <w:keepNext w:val="0"/>
        <w:keepLines w:val="0"/>
        <w:pageBreakBefore w:val="0"/>
        <w:widowControl/>
        <w:kinsoku/>
        <w:wordWrap w:val="0"/>
        <w:overflowPunct/>
        <w:topLinePunct w:val="0"/>
        <w:autoSpaceDE/>
        <w:autoSpaceDN/>
        <w:bidi w:val="0"/>
        <w:adjustRightInd/>
        <w:snapToGrid/>
        <w:spacing w:line="480" w:lineRule="exact"/>
        <w:ind w:firstLine="482" w:firstLineChars="200"/>
        <w:jc w:val="left"/>
        <w:textAlignment w:val="auto"/>
        <w:rPr>
          <w:rFonts w:hint="eastAsia" w:hAnsi="宋体" w:eastAsia="宋体" w:cs="宋体"/>
          <w:b/>
          <w:bCs/>
          <w:color w:val="auto"/>
          <w:sz w:val="24"/>
          <w:szCs w:val="24"/>
          <w:highlight w:val="none"/>
          <w:lang w:eastAsia="zh-CN"/>
        </w:rPr>
      </w:pPr>
      <w:r>
        <w:rPr>
          <w:rFonts w:hint="eastAsia" w:hAnsi="宋体" w:cs="宋体"/>
          <w:b/>
          <w:bCs/>
          <w:color w:val="auto"/>
          <w:sz w:val="24"/>
          <w:szCs w:val="24"/>
          <w:highlight w:val="none"/>
        </w:rPr>
        <w:t>采 购 人：</w:t>
      </w:r>
      <w:r>
        <w:rPr>
          <w:rFonts w:hint="eastAsia" w:hAnsi="宋体" w:cs="宋体"/>
          <w:b/>
          <w:bCs/>
          <w:color w:val="auto"/>
          <w:sz w:val="24"/>
          <w:szCs w:val="24"/>
          <w:highlight w:val="none"/>
          <w:lang w:eastAsia="zh-CN"/>
        </w:rPr>
        <w:t>西昌市消防救援大队</w:t>
      </w:r>
    </w:p>
    <w:p w14:paraId="19FDE6B8">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hAnsi="宋体" w:eastAsia="宋体" w:cs="宋体"/>
          <w:b w:val="0"/>
          <w:bCs w:val="0"/>
          <w:color w:val="auto"/>
          <w:sz w:val="24"/>
          <w:szCs w:val="24"/>
          <w:highlight w:val="none"/>
          <w:lang w:eastAsia="zh-CN"/>
        </w:rPr>
      </w:pPr>
      <w:r>
        <w:rPr>
          <w:rFonts w:hint="eastAsia" w:hAnsi="宋体" w:cs="宋体"/>
          <w:b w:val="0"/>
          <w:bCs w:val="0"/>
          <w:color w:val="auto"/>
          <w:sz w:val="24"/>
          <w:szCs w:val="24"/>
          <w:highlight w:val="none"/>
        </w:rPr>
        <w:t>通讯地址：</w:t>
      </w:r>
      <w:r>
        <w:rPr>
          <w:rFonts w:hint="eastAsia" w:ascii="宋体" w:hAnsi="宋体" w:cs="宋体"/>
          <w:sz w:val="24"/>
          <w:szCs w:val="24"/>
          <w:lang w:eastAsia="zh-CN"/>
        </w:rPr>
        <w:t>凉山彝族自治州西昌市长安中路318号</w:t>
      </w:r>
    </w:p>
    <w:p w14:paraId="7FA2D82E">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hAnsi="宋体" w:eastAsia="宋体" w:cs="宋体"/>
          <w:b w:val="0"/>
          <w:bCs w:val="0"/>
          <w:color w:val="auto"/>
          <w:sz w:val="24"/>
          <w:szCs w:val="24"/>
          <w:highlight w:val="none"/>
          <w:lang w:eastAsia="zh-CN"/>
        </w:rPr>
      </w:pPr>
      <w:r>
        <w:rPr>
          <w:rFonts w:hint="eastAsia" w:hAnsi="宋体" w:cs="宋体"/>
          <w:b w:val="0"/>
          <w:bCs w:val="0"/>
          <w:color w:val="auto"/>
          <w:sz w:val="24"/>
          <w:szCs w:val="24"/>
          <w:highlight w:val="none"/>
        </w:rPr>
        <w:t>联 系 人：</w:t>
      </w:r>
      <w:r>
        <w:rPr>
          <w:rFonts w:hint="eastAsia" w:ascii="宋体" w:hAnsi="宋体" w:cs="宋体"/>
          <w:sz w:val="24"/>
          <w:szCs w:val="24"/>
          <w:lang w:eastAsia="zh-CN"/>
        </w:rPr>
        <w:t>廖老师</w:t>
      </w:r>
    </w:p>
    <w:p w14:paraId="798351AF">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hAnsi="宋体" w:eastAsia="宋体" w:cs="宋体"/>
          <w:b w:val="0"/>
          <w:bCs w:val="0"/>
          <w:color w:val="auto"/>
          <w:sz w:val="24"/>
          <w:szCs w:val="24"/>
          <w:highlight w:val="none"/>
          <w:lang w:val="en-US" w:eastAsia="zh-CN"/>
        </w:rPr>
      </w:pPr>
      <w:r>
        <w:rPr>
          <w:rFonts w:hint="eastAsia" w:hAnsi="宋体" w:cs="宋体"/>
          <w:b w:val="0"/>
          <w:bCs w:val="0"/>
          <w:color w:val="auto"/>
          <w:sz w:val="24"/>
          <w:szCs w:val="24"/>
          <w:highlight w:val="none"/>
        </w:rPr>
        <w:t>电话传真：</w:t>
      </w:r>
      <w:r>
        <w:rPr>
          <w:rFonts w:hint="eastAsia" w:ascii="宋体" w:hAnsi="宋体" w:cs="宋体"/>
          <w:sz w:val="24"/>
          <w:szCs w:val="24"/>
          <w:lang w:eastAsia="zh-CN"/>
        </w:rPr>
        <w:t>0834-2328001</w:t>
      </w:r>
    </w:p>
    <w:p w14:paraId="508F6B51">
      <w:pPr>
        <w:keepLines w:val="0"/>
        <w:pageBreakBefore w:val="0"/>
        <w:widowControl/>
        <w:kinsoku/>
        <w:wordWrap w:val="0"/>
        <w:overflowPunct/>
        <w:bidi w:val="0"/>
        <w:spacing w:line="360" w:lineRule="auto"/>
        <w:ind w:firstLine="482" w:firstLineChars="200"/>
        <w:jc w:val="left"/>
        <w:rPr>
          <w:rFonts w:hint="eastAsia" w:asciiTheme="minorEastAsia" w:hAnsiTheme="minorEastAsia" w:eastAsiaTheme="minorEastAsia" w:cstheme="minorEastAsia"/>
          <w:b/>
          <w:bCs w:val="0"/>
          <w:color w:val="auto"/>
          <w:kern w:val="1"/>
          <w:sz w:val="24"/>
          <w:highlight w:val="none"/>
        </w:rPr>
      </w:pPr>
    </w:p>
    <w:p w14:paraId="62EB016C">
      <w:pPr>
        <w:keepLines w:val="0"/>
        <w:pageBreakBefore w:val="0"/>
        <w:widowControl/>
        <w:kinsoku/>
        <w:wordWrap w:val="0"/>
        <w:overflowPunct/>
        <w:bidi w:val="0"/>
        <w:spacing w:line="360" w:lineRule="auto"/>
        <w:ind w:firstLine="482" w:firstLineChars="200"/>
        <w:jc w:val="left"/>
        <w:rPr>
          <w:rFonts w:hint="eastAsia" w:asciiTheme="minorEastAsia" w:hAnsiTheme="minorEastAsia" w:eastAsiaTheme="minorEastAsia" w:cstheme="minorEastAsia"/>
          <w:b/>
          <w:bCs w:val="0"/>
          <w:color w:val="auto"/>
          <w:kern w:val="1"/>
          <w:sz w:val="24"/>
          <w:highlight w:val="none"/>
          <w:lang w:eastAsia="zh-CN"/>
        </w:rPr>
      </w:pPr>
      <w:r>
        <w:rPr>
          <w:rFonts w:hint="eastAsia" w:asciiTheme="minorEastAsia" w:hAnsiTheme="minorEastAsia" w:eastAsiaTheme="minorEastAsia" w:cstheme="minorEastAsia"/>
          <w:b/>
          <w:bCs w:val="0"/>
          <w:color w:val="auto"/>
          <w:kern w:val="1"/>
          <w:sz w:val="24"/>
          <w:highlight w:val="none"/>
        </w:rPr>
        <w:t>采购代理机构：</w:t>
      </w:r>
      <w:r>
        <w:rPr>
          <w:rFonts w:hint="eastAsia" w:asciiTheme="minorEastAsia" w:hAnsiTheme="minorEastAsia" w:eastAsiaTheme="minorEastAsia" w:cstheme="minorEastAsia"/>
          <w:b/>
          <w:bCs w:val="0"/>
          <w:color w:val="auto"/>
          <w:kern w:val="1"/>
          <w:sz w:val="24"/>
          <w:highlight w:val="none"/>
          <w:lang w:eastAsia="zh-CN"/>
        </w:rPr>
        <w:t>四川凉都招标代理有限公司</w:t>
      </w:r>
    </w:p>
    <w:p w14:paraId="7EA89ACA">
      <w:pPr>
        <w:keepLines w:val="0"/>
        <w:pageBreakBefore w:val="0"/>
        <w:widowControl/>
        <w:kinsoku/>
        <w:wordWrap w:val="0"/>
        <w:overflowPunct/>
        <w:bidi w:val="0"/>
        <w:spacing w:line="360" w:lineRule="auto"/>
        <w:ind w:firstLine="480" w:firstLineChars="200"/>
        <w:jc w:val="left"/>
        <w:rPr>
          <w:rFonts w:hint="eastAsia" w:asciiTheme="minorEastAsia" w:hAnsiTheme="minorEastAsia" w:eastAsiaTheme="minorEastAsia" w:cstheme="minorEastAsia"/>
          <w:bCs/>
          <w:color w:val="auto"/>
          <w:kern w:val="1"/>
          <w:sz w:val="24"/>
          <w:highlight w:val="none"/>
          <w:lang w:val="en-US" w:eastAsia="zh-CN"/>
        </w:rPr>
      </w:pPr>
      <w:r>
        <w:rPr>
          <w:rFonts w:hint="eastAsia" w:asciiTheme="minorEastAsia" w:hAnsiTheme="minorEastAsia" w:eastAsiaTheme="minorEastAsia" w:cstheme="minorEastAsia"/>
          <w:bCs/>
          <w:color w:val="auto"/>
          <w:kern w:val="1"/>
          <w:sz w:val="24"/>
          <w:highlight w:val="none"/>
        </w:rPr>
        <w:t>地    址：</w:t>
      </w:r>
      <w:r>
        <w:rPr>
          <w:rFonts w:hint="eastAsia" w:ascii="宋体" w:hAnsi="宋体" w:cs="宋体"/>
          <w:sz w:val="24"/>
          <w:szCs w:val="24"/>
          <w:lang w:eastAsia="zh-CN"/>
        </w:rPr>
        <w:t>四川省凉山彝族自治州西昌市北碧府路鑫源阳光1号楼2层2-1号</w:t>
      </w:r>
    </w:p>
    <w:p w14:paraId="57A830B5">
      <w:pPr>
        <w:keepLines w:val="0"/>
        <w:pageBreakBefore w:val="0"/>
        <w:widowControl/>
        <w:kinsoku/>
        <w:wordWrap w:val="0"/>
        <w:overflowPunct/>
        <w:bidi w:val="0"/>
        <w:spacing w:line="360" w:lineRule="auto"/>
        <w:ind w:firstLine="480" w:firstLineChars="200"/>
        <w:jc w:val="left"/>
        <w:rPr>
          <w:rFonts w:hint="eastAsia" w:asciiTheme="minorEastAsia" w:hAnsiTheme="minorEastAsia" w:eastAsiaTheme="minorEastAsia" w:cstheme="minorEastAsia"/>
          <w:bCs/>
          <w:color w:val="auto"/>
          <w:kern w:val="1"/>
          <w:sz w:val="24"/>
          <w:highlight w:val="none"/>
        </w:rPr>
      </w:pPr>
      <w:r>
        <w:rPr>
          <w:rFonts w:hint="eastAsia" w:asciiTheme="minorEastAsia" w:hAnsiTheme="minorEastAsia" w:eastAsiaTheme="minorEastAsia" w:cstheme="minorEastAsia"/>
          <w:bCs/>
          <w:color w:val="auto"/>
          <w:kern w:val="1"/>
          <w:sz w:val="24"/>
          <w:highlight w:val="none"/>
        </w:rPr>
        <w:t>联 系 人：</w:t>
      </w:r>
      <w:r>
        <w:rPr>
          <w:rFonts w:hint="eastAsia" w:asciiTheme="minorEastAsia" w:hAnsiTheme="minorEastAsia" w:eastAsiaTheme="minorEastAsia" w:cstheme="minorEastAsia"/>
          <w:bCs/>
          <w:color w:val="auto"/>
          <w:kern w:val="1"/>
          <w:sz w:val="24"/>
          <w:highlight w:val="none"/>
          <w:lang w:val="en-US" w:eastAsia="zh-CN"/>
        </w:rPr>
        <w:t>粟老师</w:t>
      </w:r>
    </w:p>
    <w:p w14:paraId="4A40D1DF">
      <w:pPr>
        <w:keepLines w:val="0"/>
        <w:pageBreakBefore w:val="0"/>
        <w:widowControl/>
        <w:kinsoku/>
        <w:wordWrap w:val="0"/>
        <w:overflowPunct/>
        <w:bidi w:val="0"/>
        <w:spacing w:line="360" w:lineRule="auto"/>
        <w:ind w:firstLine="480" w:firstLineChars="200"/>
        <w:jc w:val="left"/>
        <w:rPr>
          <w:rFonts w:hint="default" w:asciiTheme="minorEastAsia" w:hAnsiTheme="minorEastAsia" w:eastAsiaTheme="minorEastAsia" w:cstheme="minorEastAsia"/>
          <w:bCs/>
          <w:color w:val="auto"/>
          <w:kern w:val="1"/>
          <w:sz w:val="24"/>
          <w:highlight w:val="none"/>
          <w:lang w:val="en-US" w:eastAsia="zh-CN"/>
        </w:rPr>
      </w:pPr>
      <w:r>
        <w:rPr>
          <w:rFonts w:hint="eastAsia" w:asciiTheme="minorEastAsia" w:hAnsiTheme="minorEastAsia" w:eastAsiaTheme="minorEastAsia" w:cstheme="minorEastAsia"/>
          <w:bCs/>
          <w:color w:val="auto"/>
          <w:kern w:val="1"/>
          <w:sz w:val="24"/>
          <w:highlight w:val="none"/>
        </w:rPr>
        <w:t>联系电话：</w:t>
      </w:r>
      <w:r>
        <w:rPr>
          <w:rFonts w:hint="eastAsia" w:asciiTheme="minorEastAsia" w:hAnsiTheme="minorEastAsia" w:eastAsiaTheme="minorEastAsia" w:cstheme="minorEastAsia"/>
          <w:bCs/>
          <w:color w:val="auto"/>
          <w:kern w:val="1"/>
          <w:sz w:val="24"/>
          <w:highlight w:val="none"/>
          <w:lang w:val="en-US" w:eastAsia="zh-CN"/>
        </w:rPr>
        <w:t>0834-3355330</w:t>
      </w:r>
    </w:p>
    <w:p w14:paraId="0F316B3E">
      <w:pPr>
        <w:pStyle w:val="46"/>
        <w:rPr>
          <w:rFonts w:hint="eastAsia" w:asciiTheme="minorEastAsia" w:hAnsiTheme="minorEastAsia" w:eastAsiaTheme="minorEastAsia" w:cstheme="minorEastAsia"/>
          <w:bCs/>
          <w:color w:val="auto"/>
          <w:kern w:val="1"/>
          <w:sz w:val="24"/>
          <w:highlight w:val="none"/>
        </w:rPr>
      </w:pPr>
    </w:p>
    <w:p w14:paraId="71764A19">
      <w:pPr>
        <w:rPr>
          <w:rFonts w:hint="eastAsia" w:ascii="宋体" w:hAnsi="宋体" w:eastAsia="宋体" w:cs="Times New Roman"/>
          <w:color w:val="auto"/>
          <w:kern w:val="2"/>
          <w:sz w:val="24"/>
          <w:szCs w:val="24"/>
          <w:highlight w:val="none"/>
          <w:lang w:val="en-US" w:eastAsia="zh-CN" w:bidi="ar-SA"/>
        </w:rPr>
      </w:pPr>
    </w:p>
    <w:p w14:paraId="432B43CB">
      <w:pPr>
        <w:pStyle w:val="28"/>
        <w:rPr>
          <w:rFonts w:hint="eastAsia"/>
        </w:rPr>
        <w:sectPr>
          <w:footerReference r:id="rId14" w:type="default"/>
          <w:pgSz w:w="11907" w:h="16840"/>
          <w:pgMar w:top="1440" w:right="1080" w:bottom="1440" w:left="1080" w:header="851" w:footer="992" w:gutter="0"/>
          <w:pgBorders>
            <w:top w:val="none" w:sz="0" w:space="0"/>
            <w:left w:val="none" w:sz="0" w:space="0"/>
            <w:bottom w:val="none" w:sz="0" w:space="0"/>
            <w:right w:val="none" w:sz="0" w:space="0"/>
          </w:pgBorders>
          <w:pgNumType w:start="1"/>
          <w:cols w:space="720" w:num="1"/>
          <w:docGrid w:linePitch="312" w:charSpace="0"/>
        </w:sectPr>
      </w:pPr>
    </w:p>
    <w:p w14:paraId="6CA658D8">
      <w:pPr>
        <w:pStyle w:val="2"/>
        <w:keepLines w:val="0"/>
        <w:pageBreakBefore w:val="0"/>
        <w:kinsoku/>
        <w:overflowPunct/>
        <w:bidi w:val="0"/>
        <w:spacing w:line="360" w:lineRule="auto"/>
        <w:jc w:val="center"/>
        <w:rPr>
          <w:color w:val="auto"/>
          <w:highlight w:val="none"/>
        </w:rPr>
      </w:pPr>
      <w:bookmarkStart w:id="9" w:name="_Toc213496267"/>
      <w:bookmarkStart w:id="10" w:name="_Toc213397009"/>
      <w:bookmarkStart w:id="11" w:name="_Toc25923"/>
      <w:bookmarkStart w:id="12" w:name="_Toc213396945"/>
      <w:bookmarkStart w:id="13" w:name="_Toc20736"/>
      <w:bookmarkStart w:id="14" w:name="_Toc7915"/>
      <w:bookmarkStart w:id="15" w:name="_Toc217446031"/>
      <w:bookmarkStart w:id="16" w:name="_Toc213396759"/>
      <w:bookmarkStart w:id="17" w:name="_Toc183682339"/>
      <w:bookmarkStart w:id="18" w:name="_Toc183582202"/>
      <w:bookmarkStart w:id="19" w:name="_Toc89075871"/>
      <w:bookmarkStart w:id="20" w:name="_Toc77400776"/>
      <w:r>
        <w:rPr>
          <w:rFonts w:hint="eastAsia" w:ascii="Cambria" w:hAnsi="Cambria" w:eastAsia="宋体" w:cs="Times New Roman"/>
          <w:b/>
          <w:bCs/>
          <w:color w:val="auto"/>
          <w:kern w:val="32"/>
          <w:sz w:val="32"/>
          <w:szCs w:val="32"/>
          <w:highlight w:val="none"/>
          <w:lang w:val="en-US" w:eastAsia="zh-CN" w:bidi="ar-SA"/>
        </w:rPr>
        <w:t>第二章  投标人须知</w:t>
      </w:r>
      <w:bookmarkEnd w:id="9"/>
      <w:bookmarkEnd w:id="10"/>
      <w:bookmarkEnd w:id="11"/>
      <w:bookmarkEnd w:id="12"/>
      <w:bookmarkEnd w:id="13"/>
      <w:bookmarkEnd w:id="14"/>
      <w:bookmarkEnd w:id="15"/>
      <w:bookmarkEnd w:id="16"/>
      <w:bookmarkStart w:id="21" w:name="_Toc184274915"/>
      <w:bookmarkStart w:id="22" w:name="_Toc184283909"/>
    </w:p>
    <w:p w14:paraId="2B4AD27E">
      <w:pPr>
        <w:pStyle w:val="3"/>
        <w:keepLines w:val="0"/>
        <w:pageBreakBefore w:val="0"/>
        <w:kinsoku/>
        <w:overflowPunct/>
        <w:bidi w:val="0"/>
        <w:spacing w:line="360" w:lineRule="auto"/>
        <w:rPr>
          <w:color w:val="auto"/>
          <w:highlight w:val="none"/>
        </w:rPr>
      </w:pPr>
      <w:bookmarkStart w:id="23" w:name="_Toc3389"/>
      <w:bookmarkStart w:id="24" w:name="_Toc213496268"/>
      <w:bookmarkStart w:id="25" w:name="_Toc213396946"/>
      <w:bookmarkStart w:id="26" w:name="_Toc217446032"/>
      <w:bookmarkStart w:id="27" w:name="_Toc213396760"/>
      <w:bookmarkStart w:id="28" w:name="_Toc15899"/>
      <w:bookmarkStart w:id="29" w:name="_Toc189727030"/>
      <w:bookmarkStart w:id="30" w:name="_Toc213397010"/>
      <w:r>
        <w:rPr>
          <w:rFonts w:hint="eastAsia"/>
          <w:color w:val="auto"/>
          <w:highlight w:val="none"/>
        </w:rPr>
        <w:t>一、投标人须知附表</w:t>
      </w:r>
      <w:bookmarkEnd w:id="21"/>
      <w:bookmarkEnd w:id="22"/>
      <w:bookmarkEnd w:id="23"/>
      <w:bookmarkEnd w:id="24"/>
      <w:bookmarkEnd w:id="25"/>
      <w:bookmarkEnd w:id="26"/>
      <w:bookmarkEnd w:id="27"/>
      <w:bookmarkEnd w:id="28"/>
      <w:bookmarkEnd w:id="29"/>
      <w:bookmarkEnd w:id="30"/>
    </w:p>
    <w:bookmarkEnd w:id="17"/>
    <w:bookmarkEnd w:id="18"/>
    <w:bookmarkEnd w:id="19"/>
    <w:bookmarkEnd w:id="20"/>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039"/>
        <w:gridCol w:w="6026"/>
      </w:tblGrid>
      <w:tr w14:paraId="27D8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22" w:type="dxa"/>
            <w:noWrap w:val="0"/>
            <w:vAlign w:val="center"/>
          </w:tcPr>
          <w:p w14:paraId="4D710A91">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ascii="黑体" w:hAnsi="黑体" w:eastAsia="黑体" w:cs="黑体"/>
                <w:b w:val="0"/>
                <w:bCs/>
                <w:color w:val="auto"/>
                <w:kern w:val="2"/>
                <w:sz w:val="24"/>
                <w:szCs w:val="24"/>
                <w:highlight w:val="none"/>
              </w:rPr>
            </w:pPr>
            <w:bookmarkStart w:id="31" w:name="_Toc183582204"/>
            <w:bookmarkStart w:id="32" w:name="_Toc77400778"/>
            <w:bookmarkStart w:id="33" w:name="_Toc7438"/>
            <w:bookmarkStart w:id="34" w:name="_Toc89075873"/>
            <w:bookmarkStart w:id="35" w:name="_Toc25712"/>
            <w:bookmarkStart w:id="36" w:name="_Toc217446033"/>
            <w:bookmarkStart w:id="37" w:name="_Toc183682341"/>
            <w:r>
              <w:rPr>
                <w:rFonts w:hint="eastAsia" w:ascii="黑体" w:hAnsi="黑体" w:eastAsia="黑体" w:cs="黑体"/>
                <w:b w:val="0"/>
                <w:bCs/>
                <w:color w:val="auto"/>
                <w:kern w:val="2"/>
                <w:sz w:val="24"/>
                <w:szCs w:val="24"/>
                <w:highlight w:val="none"/>
              </w:rPr>
              <w:t>序号</w:t>
            </w:r>
          </w:p>
        </w:tc>
        <w:tc>
          <w:tcPr>
            <w:tcW w:w="2039" w:type="dxa"/>
            <w:noWrap w:val="0"/>
            <w:vAlign w:val="center"/>
          </w:tcPr>
          <w:p w14:paraId="3D1D3C43">
            <w:pPr>
              <w:pStyle w:val="546"/>
              <w:keepNext w:val="0"/>
              <w:keepLines w:val="0"/>
              <w:pageBreakBefore w:val="0"/>
              <w:widowControl w:val="0"/>
              <w:tabs>
                <w:tab w:val="left" w:pos="7665"/>
              </w:tabs>
              <w:kinsoku/>
              <w:wordWrap/>
              <w:overflowPunct/>
              <w:topLinePunct w:val="0"/>
              <w:autoSpaceDE/>
              <w:autoSpaceDN/>
              <w:bidi w:val="0"/>
              <w:snapToGrid w:val="0"/>
              <w:spacing w:line="480" w:lineRule="exact"/>
              <w:rPr>
                <w:rFonts w:hint="eastAsia" w:ascii="黑体" w:hAnsi="黑体" w:eastAsia="黑体" w:cs="黑体"/>
                <w:b w:val="0"/>
                <w:bCs/>
                <w:color w:val="auto"/>
                <w:kern w:val="2"/>
                <w:szCs w:val="24"/>
                <w:highlight w:val="none"/>
              </w:rPr>
            </w:pPr>
            <w:r>
              <w:rPr>
                <w:rFonts w:hint="eastAsia" w:ascii="黑体" w:hAnsi="黑体" w:eastAsia="黑体" w:cs="黑体"/>
                <w:b w:val="0"/>
                <w:bCs/>
                <w:color w:val="auto"/>
                <w:kern w:val="2"/>
                <w:szCs w:val="24"/>
                <w:highlight w:val="none"/>
              </w:rPr>
              <w:t>条款名称</w:t>
            </w:r>
          </w:p>
        </w:tc>
        <w:tc>
          <w:tcPr>
            <w:tcW w:w="6026" w:type="dxa"/>
            <w:noWrap w:val="0"/>
            <w:vAlign w:val="center"/>
          </w:tcPr>
          <w:p w14:paraId="6EFD8825">
            <w:pPr>
              <w:pStyle w:val="546"/>
              <w:keepNext w:val="0"/>
              <w:keepLines w:val="0"/>
              <w:pageBreakBefore w:val="0"/>
              <w:widowControl w:val="0"/>
              <w:tabs>
                <w:tab w:val="left" w:pos="7665"/>
              </w:tabs>
              <w:kinsoku/>
              <w:wordWrap/>
              <w:overflowPunct/>
              <w:topLinePunct w:val="0"/>
              <w:autoSpaceDE/>
              <w:autoSpaceDN/>
              <w:bidi w:val="0"/>
              <w:snapToGrid w:val="0"/>
              <w:spacing w:line="480" w:lineRule="exact"/>
              <w:rPr>
                <w:rFonts w:hint="eastAsia" w:ascii="黑体" w:hAnsi="黑体" w:eastAsia="黑体" w:cs="黑体"/>
                <w:b w:val="0"/>
                <w:bCs/>
                <w:color w:val="auto"/>
                <w:kern w:val="2"/>
                <w:szCs w:val="24"/>
                <w:highlight w:val="none"/>
              </w:rPr>
            </w:pPr>
            <w:r>
              <w:rPr>
                <w:rFonts w:hint="eastAsia" w:ascii="黑体" w:hAnsi="黑体" w:eastAsia="黑体" w:cs="黑体"/>
                <w:b w:val="0"/>
                <w:bCs/>
                <w:color w:val="auto"/>
                <w:kern w:val="2"/>
                <w:szCs w:val="24"/>
                <w:highlight w:val="none"/>
              </w:rPr>
              <w:t>说明和要求</w:t>
            </w:r>
          </w:p>
        </w:tc>
      </w:tr>
      <w:tr w14:paraId="0C62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78266414">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cs="宋体"/>
                <w:bCs/>
                <w:color w:val="auto"/>
                <w:kern w:val="2"/>
                <w:sz w:val="24"/>
                <w:szCs w:val="24"/>
                <w:highlight w:val="none"/>
              </w:rPr>
            </w:pPr>
            <w:r>
              <w:rPr>
                <w:rFonts w:hint="eastAsia" w:hAnsi="宋体" w:cs="宋体"/>
                <w:bCs/>
                <w:color w:val="auto"/>
                <w:kern w:val="2"/>
                <w:sz w:val="24"/>
                <w:szCs w:val="24"/>
                <w:highlight w:val="none"/>
              </w:rPr>
              <w:t>1</w:t>
            </w:r>
          </w:p>
        </w:tc>
        <w:tc>
          <w:tcPr>
            <w:tcW w:w="2039" w:type="dxa"/>
            <w:noWrap w:val="0"/>
            <w:vAlign w:val="center"/>
          </w:tcPr>
          <w:p w14:paraId="7AD93EC1">
            <w:pPr>
              <w:keepNext w:val="0"/>
              <w:keepLines w:val="0"/>
              <w:pageBreakBefore w:val="0"/>
              <w:widowControl w:val="0"/>
              <w:kinsoku/>
              <w:wordWrap/>
              <w:overflowPunct/>
              <w:topLinePunct w:val="0"/>
              <w:autoSpaceDE/>
              <w:autoSpaceDN/>
              <w:bidi w:val="0"/>
              <w:spacing w:line="480" w:lineRule="exact"/>
              <w:ind w:right="120" w:rightChars="50"/>
              <w:rPr>
                <w:rFonts w:hint="eastAsia"/>
                <w:bCs/>
                <w:color w:val="auto"/>
                <w:highlight w:val="none"/>
                <w:lang w:val="zh-CN"/>
              </w:rPr>
            </w:pPr>
            <w:r>
              <w:rPr>
                <w:rFonts w:hint="eastAsia" w:hAnsi="宋体" w:cs="宋体"/>
                <w:color w:val="auto"/>
                <w:sz w:val="24"/>
                <w:szCs w:val="24"/>
                <w:highlight w:val="none"/>
              </w:rPr>
              <w:t>招标文件编制</w:t>
            </w:r>
          </w:p>
        </w:tc>
        <w:tc>
          <w:tcPr>
            <w:tcW w:w="6026" w:type="dxa"/>
            <w:noWrap w:val="0"/>
            <w:vAlign w:val="center"/>
          </w:tcPr>
          <w:p w14:paraId="7022976D">
            <w:pPr>
              <w:keepNext w:val="0"/>
              <w:keepLines w:val="0"/>
              <w:pageBreakBefore w:val="0"/>
              <w:widowControl w:val="0"/>
              <w:kinsoku/>
              <w:wordWrap/>
              <w:overflowPunct/>
              <w:topLinePunct w:val="0"/>
              <w:autoSpaceDE/>
              <w:autoSpaceDN/>
              <w:bidi w:val="0"/>
              <w:spacing w:line="480" w:lineRule="exact"/>
              <w:ind w:right="120" w:rightChars="50"/>
              <w:rPr>
                <w:rFonts w:hint="eastAsia"/>
                <w:bCs/>
                <w:color w:val="auto"/>
                <w:highlight w:val="none"/>
                <w:lang w:val="zh-CN"/>
              </w:rPr>
            </w:pPr>
            <w:r>
              <w:rPr>
                <w:rFonts w:hint="eastAsia" w:hAnsi="宋体" w:cs="宋体"/>
                <w:color w:val="auto"/>
                <w:sz w:val="24"/>
                <w:szCs w:val="24"/>
                <w:highlight w:val="none"/>
              </w:rPr>
              <w:t>由</w:t>
            </w:r>
            <w:r>
              <w:rPr>
                <w:rFonts w:hint="eastAsia" w:hAnsi="宋体" w:cs="宋体"/>
                <w:color w:val="auto"/>
                <w:sz w:val="24"/>
                <w:szCs w:val="24"/>
                <w:highlight w:val="none"/>
                <w:lang w:val="en-US" w:eastAsia="zh-CN"/>
              </w:rPr>
              <w:t>招标人</w:t>
            </w:r>
            <w:r>
              <w:rPr>
                <w:rFonts w:hint="eastAsia" w:hAnsi="宋体" w:cs="宋体"/>
                <w:color w:val="auto"/>
                <w:sz w:val="24"/>
                <w:szCs w:val="24"/>
                <w:highlight w:val="none"/>
                <w:lang w:eastAsia="zh-CN"/>
              </w:rPr>
              <w:t>西昌市消防救援大队</w:t>
            </w:r>
            <w:r>
              <w:rPr>
                <w:rFonts w:hint="eastAsia" w:ascii="宋体" w:hAnsi="宋体" w:eastAsia="宋体" w:cs="宋体"/>
                <w:bCs/>
                <w:color w:val="auto"/>
                <w:kern w:val="2"/>
                <w:sz w:val="24"/>
                <w:szCs w:val="24"/>
                <w:highlight w:val="none"/>
                <w:lang w:val="en-US" w:eastAsia="zh-CN" w:bidi="ar-SA"/>
              </w:rPr>
              <w:t>和四川凉都招标代理有限公司</w:t>
            </w:r>
            <w:r>
              <w:rPr>
                <w:rFonts w:hint="eastAsia" w:hAnsi="宋体" w:cs="宋体"/>
                <w:color w:val="auto"/>
                <w:sz w:val="24"/>
                <w:szCs w:val="24"/>
                <w:highlight w:val="none"/>
              </w:rPr>
              <w:t>共同编制</w:t>
            </w:r>
          </w:p>
        </w:tc>
      </w:tr>
      <w:tr w14:paraId="0749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22" w:type="dxa"/>
            <w:noWrap w:val="0"/>
            <w:vAlign w:val="center"/>
          </w:tcPr>
          <w:p w14:paraId="0EEE693D">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cs="宋体"/>
                <w:bCs/>
                <w:color w:val="auto"/>
                <w:kern w:val="2"/>
                <w:sz w:val="24"/>
                <w:szCs w:val="24"/>
                <w:highlight w:val="none"/>
              </w:rPr>
            </w:pPr>
            <w:r>
              <w:rPr>
                <w:rFonts w:hint="eastAsia" w:hAnsi="宋体" w:cs="宋体"/>
                <w:bCs/>
                <w:color w:val="auto"/>
                <w:kern w:val="2"/>
                <w:sz w:val="24"/>
                <w:szCs w:val="24"/>
                <w:highlight w:val="none"/>
              </w:rPr>
              <w:t>2</w:t>
            </w:r>
          </w:p>
        </w:tc>
        <w:tc>
          <w:tcPr>
            <w:tcW w:w="2039" w:type="dxa"/>
            <w:noWrap w:val="0"/>
            <w:vAlign w:val="center"/>
          </w:tcPr>
          <w:p w14:paraId="5A67B1B5">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magenta"/>
              </w:rPr>
            </w:pPr>
            <w:r>
              <w:rPr>
                <w:rFonts w:hint="eastAsia" w:hAnsi="宋体" w:cs="宋体"/>
                <w:color w:val="auto"/>
                <w:sz w:val="24"/>
                <w:szCs w:val="24"/>
                <w:highlight w:val="none"/>
              </w:rPr>
              <w:t>资金来源</w:t>
            </w:r>
          </w:p>
        </w:tc>
        <w:tc>
          <w:tcPr>
            <w:tcW w:w="6026" w:type="dxa"/>
            <w:noWrap w:val="0"/>
            <w:vAlign w:val="center"/>
          </w:tcPr>
          <w:p w14:paraId="23F7D083">
            <w:pPr>
              <w:keepNext w:val="0"/>
              <w:keepLines w:val="0"/>
              <w:pageBreakBefore w:val="0"/>
              <w:widowControl w:val="0"/>
              <w:kinsoku/>
              <w:wordWrap/>
              <w:overflowPunct/>
              <w:topLinePunct w:val="0"/>
              <w:autoSpaceDE/>
              <w:autoSpaceDN/>
              <w:bidi w:val="0"/>
              <w:spacing w:line="480" w:lineRule="exact"/>
              <w:ind w:right="120" w:rightChars="50"/>
              <w:rPr>
                <w:rFonts w:hint="default" w:eastAsia="宋体" w:cs="宋体"/>
                <w:bCs/>
                <w:color w:val="auto"/>
                <w:kern w:val="2"/>
                <w:szCs w:val="24"/>
                <w:highlight w:val="magenta"/>
                <w:lang w:val="en-US" w:eastAsia="zh-CN"/>
              </w:rPr>
            </w:pPr>
            <w:bookmarkStart w:id="38" w:name="OLE_LINK15"/>
            <w:r>
              <w:rPr>
                <w:rFonts w:hint="eastAsia" w:hAnsi="宋体" w:cs="宋体"/>
                <w:color w:val="auto"/>
                <w:sz w:val="24"/>
                <w:szCs w:val="24"/>
                <w:highlight w:val="none"/>
                <w:lang w:val="en-US" w:eastAsia="zh-CN"/>
              </w:rPr>
              <w:t>资金</w:t>
            </w:r>
            <w:bookmarkEnd w:id="38"/>
            <w:r>
              <w:rPr>
                <w:rFonts w:hint="eastAsia" w:hAnsi="宋体" w:cs="宋体"/>
                <w:color w:val="auto"/>
                <w:sz w:val="24"/>
                <w:szCs w:val="24"/>
                <w:highlight w:val="none"/>
              </w:rPr>
              <w:t>已落实。</w:t>
            </w:r>
          </w:p>
        </w:tc>
      </w:tr>
      <w:tr w14:paraId="643F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2" w:type="dxa"/>
            <w:vMerge w:val="restart"/>
            <w:noWrap w:val="0"/>
            <w:vAlign w:val="center"/>
          </w:tcPr>
          <w:p w14:paraId="0029713A">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cs="宋体"/>
                <w:bCs/>
                <w:color w:val="auto"/>
                <w:kern w:val="2"/>
                <w:sz w:val="24"/>
                <w:szCs w:val="24"/>
                <w:highlight w:val="none"/>
              </w:rPr>
            </w:pPr>
            <w:r>
              <w:rPr>
                <w:rFonts w:hint="eastAsia" w:hAnsi="宋体" w:cs="宋体"/>
                <w:bCs/>
                <w:color w:val="auto"/>
                <w:kern w:val="2"/>
                <w:sz w:val="24"/>
                <w:szCs w:val="24"/>
                <w:highlight w:val="none"/>
              </w:rPr>
              <w:t>3</w:t>
            </w:r>
          </w:p>
        </w:tc>
        <w:tc>
          <w:tcPr>
            <w:tcW w:w="2039" w:type="dxa"/>
            <w:noWrap w:val="0"/>
            <w:vAlign w:val="center"/>
          </w:tcPr>
          <w:p w14:paraId="53D4B46A">
            <w:pPr>
              <w:keepNext w:val="0"/>
              <w:keepLines w:val="0"/>
              <w:pageBreakBefore w:val="0"/>
              <w:widowControl w:val="0"/>
              <w:kinsoku/>
              <w:wordWrap/>
              <w:overflowPunct/>
              <w:topLinePunct w:val="0"/>
              <w:autoSpaceDE/>
              <w:autoSpaceDN/>
              <w:bidi w:val="0"/>
              <w:spacing w:line="480" w:lineRule="exact"/>
              <w:ind w:right="120" w:rightChars="50"/>
              <w:rPr>
                <w:rFonts w:hint="eastAsia" w:hAnsi="宋体" w:cs="宋体"/>
                <w:color w:val="auto"/>
                <w:sz w:val="24"/>
                <w:szCs w:val="24"/>
                <w:highlight w:val="none"/>
              </w:rPr>
            </w:pPr>
            <w:r>
              <w:rPr>
                <w:rFonts w:hint="eastAsia" w:hAnsi="宋体" w:cs="宋体"/>
                <w:color w:val="auto"/>
                <w:sz w:val="24"/>
                <w:szCs w:val="24"/>
                <w:highlight w:val="none"/>
              </w:rPr>
              <w:t>采购预算</w:t>
            </w:r>
          </w:p>
          <w:p w14:paraId="7C9A91F1">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highlight w:val="none"/>
              </w:rPr>
              <w:t>（实质性要求）</w:t>
            </w:r>
          </w:p>
        </w:tc>
        <w:tc>
          <w:tcPr>
            <w:tcW w:w="6026" w:type="dxa"/>
            <w:noWrap w:val="0"/>
            <w:vAlign w:val="center"/>
          </w:tcPr>
          <w:p w14:paraId="30A67739">
            <w:pPr>
              <w:keepNext w:val="0"/>
              <w:keepLines w:val="0"/>
              <w:pageBreakBefore w:val="0"/>
              <w:widowControl w:val="0"/>
              <w:kinsoku/>
              <w:wordWrap/>
              <w:overflowPunct/>
              <w:topLinePunct w:val="0"/>
              <w:autoSpaceDE/>
              <w:autoSpaceDN/>
              <w:bidi w:val="0"/>
              <w:spacing w:line="480" w:lineRule="exact"/>
              <w:ind w:right="120" w:rightChars="50"/>
              <w:rPr>
                <w:rFonts w:hint="eastAsia" w:eastAsia="宋体" w:cs="宋体"/>
                <w:bCs/>
                <w:color w:val="auto"/>
                <w:kern w:val="2"/>
                <w:szCs w:val="24"/>
                <w:highlight w:val="none"/>
                <w:lang w:eastAsia="zh-CN"/>
              </w:rPr>
            </w:pPr>
            <w:r>
              <w:rPr>
                <w:rFonts w:hint="eastAsia" w:ascii="宋体" w:hAnsi="宋体" w:eastAsia="宋体" w:cs="宋体"/>
                <w:color w:val="auto"/>
                <w:sz w:val="24"/>
                <w:szCs w:val="24"/>
                <w:lang w:val="zh-CN" w:eastAsia="zh-CN"/>
              </w:rPr>
              <w:t>260000.00</w:t>
            </w:r>
            <w:r>
              <w:rPr>
                <w:rFonts w:hint="eastAsia" w:ascii="宋体" w:hAnsi="宋体" w:cs="宋体"/>
                <w:color w:val="auto"/>
                <w:kern w:val="2"/>
                <w:sz w:val="24"/>
                <w:szCs w:val="24"/>
                <w:highlight w:val="none"/>
                <w:lang w:val="en-US" w:eastAsia="zh-CN" w:bidi="ar-SA"/>
              </w:rPr>
              <w:t>元</w:t>
            </w:r>
            <w:r>
              <w:rPr>
                <w:rFonts w:hint="eastAsia" w:hAnsi="宋体" w:cs="宋体"/>
                <w:color w:val="auto"/>
                <w:sz w:val="24"/>
                <w:szCs w:val="24"/>
                <w:highlight w:val="none"/>
              </w:rPr>
              <w:t>；超过采购预算的投标为无效投标。</w:t>
            </w:r>
          </w:p>
        </w:tc>
      </w:tr>
      <w:tr w14:paraId="0C5D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noWrap w:val="0"/>
            <w:vAlign w:val="center"/>
          </w:tcPr>
          <w:p w14:paraId="01B18636">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cs="宋体"/>
                <w:bCs/>
                <w:color w:val="auto"/>
                <w:kern w:val="2"/>
                <w:sz w:val="24"/>
                <w:szCs w:val="24"/>
                <w:highlight w:val="none"/>
              </w:rPr>
            </w:pPr>
          </w:p>
        </w:tc>
        <w:tc>
          <w:tcPr>
            <w:tcW w:w="2039" w:type="dxa"/>
            <w:noWrap w:val="0"/>
            <w:vAlign w:val="center"/>
          </w:tcPr>
          <w:p w14:paraId="771AE447">
            <w:pPr>
              <w:keepNext w:val="0"/>
              <w:keepLines w:val="0"/>
              <w:pageBreakBefore w:val="0"/>
              <w:widowControl w:val="0"/>
              <w:kinsoku/>
              <w:wordWrap/>
              <w:overflowPunct/>
              <w:topLinePunct w:val="0"/>
              <w:autoSpaceDE/>
              <w:autoSpaceDN/>
              <w:bidi w:val="0"/>
              <w:spacing w:line="480" w:lineRule="exact"/>
              <w:ind w:right="120" w:rightChars="50"/>
              <w:rPr>
                <w:rFonts w:hint="eastAsia" w:hAnsi="宋体" w:cs="宋体"/>
                <w:color w:val="auto"/>
                <w:sz w:val="24"/>
                <w:szCs w:val="24"/>
                <w:highlight w:val="none"/>
              </w:rPr>
            </w:pPr>
            <w:r>
              <w:rPr>
                <w:rFonts w:hint="eastAsia" w:hAnsi="宋体" w:cs="宋体"/>
                <w:color w:val="auto"/>
                <w:sz w:val="24"/>
                <w:szCs w:val="24"/>
                <w:highlight w:val="none"/>
              </w:rPr>
              <w:t>最高限价</w:t>
            </w:r>
          </w:p>
          <w:p w14:paraId="03B9CB72">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highlight w:val="none"/>
              </w:rPr>
              <w:t>（实质性要求）</w:t>
            </w:r>
          </w:p>
        </w:tc>
        <w:tc>
          <w:tcPr>
            <w:tcW w:w="6026" w:type="dxa"/>
            <w:noWrap w:val="0"/>
            <w:vAlign w:val="center"/>
          </w:tcPr>
          <w:p w14:paraId="34252140">
            <w:pPr>
              <w:keepNext w:val="0"/>
              <w:keepLines w:val="0"/>
              <w:pageBreakBefore w:val="0"/>
              <w:widowControl w:val="0"/>
              <w:kinsoku/>
              <w:wordWrap/>
              <w:overflowPunct/>
              <w:topLinePunct w:val="0"/>
              <w:autoSpaceDE/>
              <w:autoSpaceDN/>
              <w:bidi w:val="0"/>
              <w:spacing w:line="480" w:lineRule="exact"/>
              <w:ind w:right="120" w:rightChars="50"/>
              <w:rPr>
                <w:rFonts w:hint="eastAsia" w:hAnsi="宋体" w:cs="宋体"/>
                <w:color w:val="auto"/>
                <w:sz w:val="24"/>
                <w:szCs w:val="24"/>
                <w:highlight w:val="none"/>
              </w:rPr>
            </w:pPr>
            <w:r>
              <w:rPr>
                <w:rFonts w:hint="eastAsia" w:hAnsi="宋体" w:cs="宋体"/>
                <w:color w:val="auto"/>
                <w:sz w:val="24"/>
                <w:szCs w:val="24"/>
                <w:highlight w:val="none"/>
              </w:rPr>
              <w:t>本项目最高限价为：</w:t>
            </w:r>
            <w:r>
              <w:rPr>
                <w:rFonts w:hint="eastAsia" w:ascii="宋体" w:hAnsi="宋体" w:eastAsia="宋体" w:cs="宋体"/>
                <w:color w:val="auto"/>
                <w:sz w:val="24"/>
                <w:szCs w:val="24"/>
                <w:lang w:val="zh-CN" w:eastAsia="zh-CN"/>
              </w:rPr>
              <w:t>260000.00</w:t>
            </w:r>
            <w:r>
              <w:rPr>
                <w:rFonts w:hint="eastAsia" w:ascii="宋体" w:hAnsi="宋体"/>
                <w:color w:val="auto"/>
                <w:sz w:val="24"/>
                <w:highlight w:val="none"/>
                <w:lang w:val="en-US" w:eastAsia="zh-CN"/>
              </w:rPr>
              <w:t>元</w:t>
            </w:r>
            <w:r>
              <w:rPr>
                <w:rFonts w:hint="eastAsia" w:hAnsi="宋体" w:cs="宋体"/>
                <w:color w:val="auto"/>
                <w:sz w:val="24"/>
                <w:szCs w:val="24"/>
                <w:highlight w:val="none"/>
              </w:rPr>
              <w:t>；超过最高限价的投标为无效投标。</w:t>
            </w:r>
          </w:p>
          <w:p w14:paraId="7FE3AB0C">
            <w:pPr>
              <w:keepNext w:val="0"/>
              <w:keepLines w:val="0"/>
              <w:pageBreakBefore w:val="0"/>
              <w:widowControl w:val="0"/>
              <w:kinsoku/>
              <w:wordWrap/>
              <w:overflowPunct/>
              <w:topLinePunct w:val="0"/>
              <w:autoSpaceDE/>
              <w:autoSpaceDN/>
              <w:bidi w:val="0"/>
              <w:spacing w:line="480" w:lineRule="exact"/>
              <w:ind w:right="120" w:rightChars="50"/>
              <w:rPr>
                <w:rFonts w:hint="default" w:eastAsia="宋体" w:cs="宋体"/>
                <w:bCs/>
                <w:color w:val="auto"/>
                <w:kern w:val="2"/>
                <w:szCs w:val="24"/>
                <w:highlight w:val="none"/>
                <w:lang w:val="en-US" w:eastAsia="zh-CN"/>
              </w:rPr>
            </w:pPr>
            <w:r>
              <w:rPr>
                <w:rFonts w:hint="eastAsia" w:hAnsi="宋体" w:cs="宋体"/>
                <w:color w:val="auto"/>
                <w:sz w:val="24"/>
                <w:szCs w:val="24"/>
                <w:highlight w:val="none"/>
              </w:rPr>
              <w:t>本项目</w:t>
            </w:r>
            <w:r>
              <w:rPr>
                <w:rFonts w:hint="eastAsia" w:hAnsi="宋体" w:cs="宋体"/>
                <w:color w:val="auto"/>
                <w:sz w:val="24"/>
                <w:szCs w:val="24"/>
                <w:highlight w:val="none"/>
                <w:lang w:val="en-US" w:eastAsia="zh-CN"/>
              </w:rPr>
              <w:t>超过最高单价限价的</w:t>
            </w:r>
            <w:r>
              <w:rPr>
                <w:rFonts w:hint="eastAsia" w:hAnsi="宋体" w:cs="宋体"/>
                <w:color w:val="auto"/>
                <w:sz w:val="24"/>
                <w:szCs w:val="24"/>
                <w:highlight w:val="none"/>
              </w:rPr>
              <w:t>投标为无效投标</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单价限价详见第六章</w:t>
            </w:r>
            <w:r>
              <w:rPr>
                <w:rFonts w:hint="eastAsia" w:hAnsi="宋体" w:cs="宋体"/>
                <w:color w:val="auto"/>
                <w:sz w:val="24"/>
                <w:szCs w:val="24"/>
                <w:highlight w:val="none"/>
              </w:rPr>
              <w:t>。</w:t>
            </w:r>
          </w:p>
        </w:tc>
      </w:tr>
      <w:tr w14:paraId="6B0A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noWrap w:val="0"/>
            <w:vAlign w:val="center"/>
          </w:tcPr>
          <w:p w14:paraId="123EC3BE">
            <w:pPr>
              <w:keepNext w:val="0"/>
              <w:keepLines w:val="0"/>
              <w:pageBreakBefore w:val="0"/>
              <w:widowControl w:val="0"/>
              <w:kinsoku/>
              <w:wordWrap/>
              <w:overflowPunct/>
              <w:topLinePunct w:val="0"/>
              <w:autoSpaceDE/>
              <w:autoSpaceDN/>
              <w:bidi w:val="0"/>
              <w:spacing w:line="480" w:lineRule="exact"/>
              <w:jc w:val="center"/>
              <w:outlineLvl w:val="5"/>
              <w:rPr>
                <w:rFonts w:hint="eastAsia" w:hAnsi="宋体" w:cs="宋体"/>
                <w:bCs/>
                <w:color w:val="auto"/>
                <w:kern w:val="2"/>
                <w:sz w:val="24"/>
                <w:szCs w:val="24"/>
                <w:highlight w:val="none"/>
              </w:rPr>
            </w:pPr>
            <w:r>
              <w:rPr>
                <w:rFonts w:hint="eastAsia" w:hAnsi="宋体" w:cs="宋体"/>
                <w:bCs/>
                <w:color w:val="auto"/>
                <w:kern w:val="2"/>
                <w:sz w:val="24"/>
                <w:szCs w:val="24"/>
                <w:highlight w:val="none"/>
              </w:rPr>
              <w:t>4</w:t>
            </w:r>
          </w:p>
        </w:tc>
        <w:tc>
          <w:tcPr>
            <w:tcW w:w="2039" w:type="dxa"/>
            <w:noWrap w:val="0"/>
            <w:vAlign w:val="center"/>
          </w:tcPr>
          <w:p w14:paraId="373342C5">
            <w:pPr>
              <w:keepNext w:val="0"/>
              <w:keepLines w:val="0"/>
              <w:pageBreakBefore w:val="0"/>
              <w:widowControl w:val="0"/>
              <w:kinsoku/>
              <w:wordWrap/>
              <w:overflowPunct/>
              <w:topLinePunct w:val="0"/>
              <w:autoSpaceDE/>
              <w:autoSpaceDN/>
              <w:bidi w:val="0"/>
              <w:spacing w:line="480" w:lineRule="exact"/>
              <w:ind w:right="120" w:rightChars="50"/>
              <w:rPr>
                <w:rFonts w:hint="eastAsia" w:hAnsi="宋体" w:cs="宋体"/>
                <w:color w:val="auto"/>
                <w:sz w:val="24"/>
                <w:szCs w:val="24"/>
                <w:highlight w:val="none"/>
              </w:rPr>
            </w:pPr>
            <w:r>
              <w:rPr>
                <w:rFonts w:hint="eastAsia" w:hAnsi="宋体" w:cs="宋体"/>
                <w:color w:val="auto"/>
                <w:sz w:val="24"/>
                <w:szCs w:val="24"/>
                <w:highlight w:val="none"/>
              </w:rPr>
              <w:t>低于成本价不正当竞争预防措施</w:t>
            </w:r>
          </w:p>
          <w:p w14:paraId="5D4FC9FB">
            <w:pPr>
              <w:keepNext w:val="0"/>
              <w:keepLines w:val="0"/>
              <w:pageBreakBefore w:val="0"/>
              <w:widowControl w:val="0"/>
              <w:kinsoku/>
              <w:wordWrap/>
              <w:overflowPunct/>
              <w:topLinePunct w:val="0"/>
              <w:autoSpaceDE/>
              <w:autoSpaceDN/>
              <w:bidi w:val="0"/>
              <w:spacing w:line="480" w:lineRule="exact"/>
              <w:ind w:right="120" w:rightChars="50"/>
              <w:rPr>
                <w:rFonts w:hint="eastAsia" w:hAnsi="宋体" w:cs="宋体"/>
                <w:bCs/>
                <w:color w:val="auto"/>
                <w:kern w:val="2"/>
                <w:sz w:val="24"/>
                <w:szCs w:val="24"/>
                <w:highlight w:val="none"/>
              </w:rPr>
            </w:pPr>
            <w:r>
              <w:rPr>
                <w:rFonts w:hint="eastAsia" w:hAnsi="宋体" w:cs="宋体"/>
                <w:color w:val="auto"/>
                <w:sz w:val="24"/>
                <w:szCs w:val="24"/>
                <w:highlight w:val="none"/>
              </w:rPr>
              <w:t>（实质性要求）</w:t>
            </w:r>
          </w:p>
        </w:tc>
        <w:tc>
          <w:tcPr>
            <w:tcW w:w="6026" w:type="dxa"/>
            <w:noWrap w:val="0"/>
            <w:vAlign w:val="center"/>
          </w:tcPr>
          <w:p w14:paraId="7EE48CFD">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zh-CN" w:eastAsia="zh-CN"/>
              </w:rPr>
              <w:t>评审过程中，出现下列情形之一的，评审委员会应当启动异常低价投标（响应）审查程序：</w:t>
            </w:r>
          </w:p>
          <w:p w14:paraId="7165D303">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1.投标（响应）报价低于全部通过符合性审查</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投标（响应）报价平均值</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lang w:val="zh-CN" w:eastAsia="zh-CN"/>
              </w:rPr>
              <w:t>%的，即投标（响应）报价&lt;全部通过符合性审查</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投标（响应）报价平均值×</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lang w:val="zh-CN" w:eastAsia="zh-CN"/>
              </w:rPr>
              <w:t>%；</w:t>
            </w:r>
          </w:p>
          <w:p w14:paraId="07C626D6">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2.投标（响应）报价低于通过符合性审查的次低报价</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投标（响应）报价</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lang w:val="zh-CN" w:eastAsia="zh-CN"/>
              </w:rPr>
              <w:t>%的，即投标（响应）报价&lt;通过符合性审查的次低报价</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投标（响应）报价×50%；</w:t>
            </w:r>
          </w:p>
          <w:p w14:paraId="5C695F39">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3.投标（响应）报价低于采购项目最高限价</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lang w:val="zh-CN" w:eastAsia="zh-CN"/>
              </w:rPr>
              <w:t>%的，即投标（响应）报价&lt;采购项目最高限价×</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lang w:val="zh-CN" w:eastAsia="zh-CN"/>
              </w:rPr>
              <w:t>%；</w:t>
            </w:r>
          </w:p>
          <w:p w14:paraId="5964ACF7">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4.评审委员会基于专业判断，认为</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报价过低，有可能影响产品质量或者不能诚信履约的其他情形。</w:t>
            </w:r>
          </w:p>
          <w:p w14:paraId="1A46A97B">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相关法律法规对</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报价有规定的，从其规定。</w:t>
            </w:r>
          </w:p>
          <w:p w14:paraId="188A5518">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二、评审委员会启动异常低价投标（响应）审查后，属于前述第1项至第4项情形的，应当要求相关</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在评审现场合理的时间内对投标（响应）价格作出解释，提供项目具体成本测算等与报价合理性相关的书面说明及必要的证明材料，包括但不限于原材料成本、人工成本、制造费用等，给予相关</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的合理时间一般不少于30分钟。其中，属于第3项情形，</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已随投标（响应）文件一并提交相关书面说明及必要的证明材料的，在评审现场可不再重复提交。</w:t>
            </w:r>
          </w:p>
          <w:p w14:paraId="78D9527C">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不能提供书面说明、证明材料，或者提供的书面说明、证明材料不能证明其报价合理性的，评审委员会应当将其作为无效投标（响应）处理。</w:t>
            </w:r>
          </w:p>
          <w:p w14:paraId="4A1FB86F">
            <w:pPr>
              <w:keepNext w:val="0"/>
              <w:keepLines w:val="0"/>
              <w:pageBreakBefore w:val="0"/>
              <w:widowControl w:val="0"/>
              <w:kinsoku/>
              <w:wordWrap/>
              <w:overflowPunct/>
              <w:topLinePunct w:val="0"/>
              <w:autoSpaceDE/>
              <w:autoSpaceDN/>
              <w:bidi w:val="0"/>
              <w:spacing w:line="480" w:lineRule="exact"/>
              <w:ind w:right="120" w:rightChars="50"/>
              <w:rPr>
                <w:rFonts w:hint="eastAsia" w:hAnsi="宋体" w:cs="宋体"/>
                <w:bCs/>
                <w:color w:val="auto"/>
                <w:kern w:val="2"/>
                <w:sz w:val="24"/>
                <w:szCs w:val="24"/>
                <w:highlight w:val="none"/>
              </w:rPr>
            </w:pP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书面说明应当签字确认或者加盖公章，否则无效。书面说明的签字确认，</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为法人的，由其法定代表人或者代理人签字确认；</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为其他组织的，由其主要负责人或者代理人签字确认；</w:t>
            </w:r>
            <w:r>
              <w:rPr>
                <w:rFonts w:hint="eastAsia" w:ascii="宋体" w:hAnsi="宋体" w:cs="宋体"/>
                <w:color w:val="auto"/>
                <w:sz w:val="24"/>
                <w:szCs w:val="24"/>
                <w:highlight w:val="none"/>
                <w:lang w:val="zh-CN" w:eastAsia="zh-CN"/>
              </w:rPr>
              <w:t>投标人</w:t>
            </w:r>
            <w:r>
              <w:rPr>
                <w:rFonts w:hint="eastAsia" w:ascii="宋体" w:hAnsi="宋体" w:eastAsia="宋体" w:cs="宋体"/>
                <w:color w:val="auto"/>
                <w:sz w:val="24"/>
                <w:szCs w:val="24"/>
                <w:highlight w:val="none"/>
                <w:lang w:val="zh-CN" w:eastAsia="zh-CN"/>
              </w:rPr>
              <w:t>为自然人的，由其本人或者代理人签字确认。</w:t>
            </w:r>
          </w:p>
        </w:tc>
      </w:tr>
      <w:tr w14:paraId="61C0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021048E3">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eastAsia="宋体" w:cs="宋体"/>
                <w:bCs/>
                <w:color w:val="auto"/>
                <w:kern w:val="2"/>
                <w:sz w:val="24"/>
                <w:szCs w:val="24"/>
                <w:highlight w:val="none"/>
                <w:lang w:eastAsia="zh-CN"/>
              </w:rPr>
            </w:pPr>
            <w:r>
              <w:rPr>
                <w:rFonts w:hint="eastAsia" w:hAnsi="宋体" w:cs="宋体"/>
                <w:bCs/>
                <w:color w:val="auto"/>
                <w:kern w:val="2"/>
                <w:sz w:val="24"/>
                <w:szCs w:val="24"/>
                <w:highlight w:val="none"/>
                <w:lang w:val="en-US" w:eastAsia="zh-CN"/>
              </w:rPr>
              <w:t>5</w:t>
            </w:r>
          </w:p>
        </w:tc>
        <w:tc>
          <w:tcPr>
            <w:tcW w:w="2039" w:type="dxa"/>
            <w:noWrap w:val="0"/>
            <w:vAlign w:val="center"/>
          </w:tcPr>
          <w:p w14:paraId="0218E7F1">
            <w:pPr>
              <w:pStyle w:val="546"/>
              <w:keepNext w:val="0"/>
              <w:keepLines w:val="0"/>
              <w:pageBreakBefore w:val="0"/>
              <w:widowControl w:val="0"/>
              <w:tabs>
                <w:tab w:val="left" w:pos="7665"/>
              </w:tabs>
              <w:kinsoku/>
              <w:wordWrap/>
              <w:overflowPunct/>
              <w:topLinePunct w:val="0"/>
              <w:autoSpaceDE/>
              <w:autoSpaceDN/>
              <w:bidi w:val="0"/>
              <w:snapToGrid w:val="0"/>
              <w:spacing w:line="480" w:lineRule="exact"/>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采购方式</w:t>
            </w:r>
          </w:p>
        </w:tc>
        <w:tc>
          <w:tcPr>
            <w:tcW w:w="6026" w:type="dxa"/>
            <w:noWrap w:val="0"/>
            <w:vAlign w:val="center"/>
          </w:tcPr>
          <w:p w14:paraId="62FE3C7D">
            <w:pPr>
              <w:pStyle w:val="546"/>
              <w:keepNext w:val="0"/>
              <w:keepLines w:val="0"/>
              <w:pageBreakBefore w:val="0"/>
              <w:widowControl w:val="0"/>
              <w:tabs>
                <w:tab w:val="left" w:pos="7665"/>
              </w:tabs>
              <w:kinsoku/>
              <w:wordWrap/>
              <w:overflowPunct/>
              <w:topLinePunct w:val="0"/>
              <w:autoSpaceDE/>
              <w:autoSpaceDN/>
              <w:bidi w:val="0"/>
              <w:snapToGrid w:val="0"/>
              <w:spacing w:line="480" w:lineRule="exact"/>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公开招标</w:t>
            </w:r>
          </w:p>
        </w:tc>
      </w:tr>
      <w:tr w14:paraId="5281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noWrap w:val="0"/>
            <w:vAlign w:val="center"/>
          </w:tcPr>
          <w:p w14:paraId="4AF97760">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eastAsia="宋体" w:cs="宋体"/>
                <w:bCs/>
                <w:color w:val="auto"/>
                <w:kern w:val="2"/>
                <w:sz w:val="24"/>
                <w:szCs w:val="24"/>
                <w:highlight w:val="none"/>
                <w:lang w:eastAsia="zh-CN"/>
              </w:rPr>
            </w:pPr>
            <w:r>
              <w:rPr>
                <w:rFonts w:hint="eastAsia" w:hAnsi="宋体" w:cs="宋体"/>
                <w:bCs/>
                <w:color w:val="auto"/>
                <w:kern w:val="2"/>
                <w:sz w:val="24"/>
                <w:szCs w:val="24"/>
                <w:highlight w:val="none"/>
                <w:lang w:val="en-US" w:eastAsia="zh-CN"/>
              </w:rPr>
              <w:t>6</w:t>
            </w:r>
          </w:p>
        </w:tc>
        <w:tc>
          <w:tcPr>
            <w:tcW w:w="2039" w:type="dxa"/>
            <w:noWrap w:val="0"/>
            <w:vAlign w:val="center"/>
          </w:tcPr>
          <w:p w14:paraId="5887DE4E">
            <w:pPr>
              <w:keepNext w:val="0"/>
              <w:keepLines w:val="0"/>
              <w:pageBreakBefore w:val="0"/>
              <w:widowControl w:val="0"/>
              <w:kinsoku/>
              <w:wordWrap/>
              <w:overflowPunct/>
              <w:topLinePunct w:val="0"/>
              <w:autoSpaceDE/>
              <w:autoSpaceDN/>
              <w:bidi w:val="0"/>
              <w:spacing w:line="480" w:lineRule="exact"/>
              <w:ind w:right="120" w:rightChars="5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评标方法</w:t>
            </w:r>
          </w:p>
        </w:tc>
        <w:tc>
          <w:tcPr>
            <w:tcW w:w="6026" w:type="dxa"/>
            <w:noWrap w:val="0"/>
            <w:vAlign w:val="center"/>
          </w:tcPr>
          <w:p w14:paraId="24C879D6">
            <w:pPr>
              <w:keepNext w:val="0"/>
              <w:keepLines w:val="0"/>
              <w:pageBreakBefore w:val="0"/>
              <w:widowControl w:val="0"/>
              <w:kinsoku/>
              <w:wordWrap/>
              <w:overflowPunct/>
              <w:topLinePunct w:val="0"/>
              <w:autoSpaceDE/>
              <w:autoSpaceDN/>
              <w:bidi w:val="0"/>
              <w:spacing w:line="480" w:lineRule="exact"/>
              <w:ind w:right="120" w:rightChars="5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综合评分法</w:t>
            </w:r>
          </w:p>
        </w:tc>
      </w:tr>
      <w:tr w14:paraId="62D7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2712FF2F">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eastAsia="宋体" w:cs="宋体"/>
                <w:bCs/>
                <w:color w:val="auto"/>
                <w:kern w:val="2"/>
                <w:sz w:val="24"/>
                <w:szCs w:val="24"/>
                <w:highlight w:val="none"/>
                <w:lang w:eastAsia="zh-CN"/>
              </w:rPr>
            </w:pPr>
            <w:r>
              <w:rPr>
                <w:rFonts w:hint="eastAsia" w:hAnsi="宋体" w:cs="宋体"/>
                <w:bCs/>
                <w:color w:val="auto"/>
                <w:kern w:val="2"/>
                <w:sz w:val="24"/>
                <w:szCs w:val="24"/>
                <w:highlight w:val="none"/>
                <w:lang w:val="en-US" w:eastAsia="zh-CN"/>
              </w:rPr>
              <w:t>7</w:t>
            </w:r>
          </w:p>
        </w:tc>
        <w:tc>
          <w:tcPr>
            <w:tcW w:w="2039" w:type="dxa"/>
            <w:noWrap w:val="0"/>
            <w:vAlign w:val="center"/>
          </w:tcPr>
          <w:p w14:paraId="2C9576BF">
            <w:pPr>
              <w:pStyle w:val="101"/>
              <w:keepNext w:val="0"/>
              <w:keepLines w:val="0"/>
              <w:pageBreakBefore w:val="0"/>
              <w:widowControl w:val="0"/>
              <w:kinsoku/>
              <w:wordWrap/>
              <w:overflowPunct/>
              <w:topLinePunct w:val="0"/>
              <w:autoSpaceDE/>
              <w:autoSpaceDN/>
              <w:bidi w:val="0"/>
              <w:spacing w:line="480" w:lineRule="exact"/>
              <w:jc w:val="left"/>
              <w:rPr>
                <w:rFonts w:hint="eastAsia"/>
                <w:bCs/>
                <w:color w:val="auto"/>
                <w:highlight w:val="none"/>
              </w:rPr>
            </w:pPr>
            <w:r>
              <w:rPr>
                <w:rFonts w:hint="eastAsia"/>
                <w:bCs/>
                <w:color w:val="auto"/>
                <w:highlight w:val="none"/>
              </w:rPr>
              <w:t>小微企业（监狱企业、残疾人福利性单位视同小微企业）价格扣除</w:t>
            </w:r>
          </w:p>
        </w:tc>
        <w:tc>
          <w:tcPr>
            <w:tcW w:w="6026" w:type="dxa"/>
            <w:noWrap w:val="0"/>
            <w:vAlign w:val="center"/>
          </w:tcPr>
          <w:p w14:paraId="1232468E">
            <w:pPr>
              <w:keepNext w:val="0"/>
              <w:keepLines w:val="0"/>
              <w:pageBreakBefore w:val="0"/>
              <w:widowControl w:val="0"/>
              <w:numPr>
                <w:ilvl w:val="0"/>
                <w:numId w:val="3"/>
              </w:numPr>
              <w:kinsoku/>
              <w:wordWrap/>
              <w:overflowPunct/>
              <w:topLinePunct w:val="0"/>
              <w:autoSpaceDE/>
              <w:autoSpaceDN/>
              <w:bidi w:val="0"/>
              <w:spacing w:line="480" w:lineRule="exact"/>
              <w:ind w:right="120" w:rightChars="50"/>
              <w:rPr>
                <w:rFonts w:hint="eastAsia" w:ascii="宋体" w:hAnsi="宋体" w:eastAsia="宋体" w:cs="宋体"/>
                <w:b/>
                <w:bCs/>
                <w:color w:val="auto"/>
                <w:kern w:val="0"/>
                <w:sz w:val="24"/>
                <w:szCs w:val="24"/>
                <w:lang w:val="en-US" w:eastAsia="zh-CN" w:bidi="ar-SA"/>
              </w:rPr>
            </w:pPr>
            <w:r>
              <w:rPr>
                <w:rFonts w:hint="eastAsia" w:hAnsi="宋体" w:eastAsia="宋体" w:cs="宋体"/>
                <w:color w:val="auto"/>
                <w:sz w:val="24"/>
                <w:szCs w:val="24"/>
                <w:highlight w:val="none"/>
                <w:lang w:val="en-US" w:eastAsia="zh-CN" w:bidi="ar-SA"/>
              </w:rPr>
              <w:t>根据《政府采购促进中小企业发展管理办法》（财库﹝2020﹞46号）、《关于进一步加大政府采购支持中小企业力度的通知》（财库〔2022〕19号）规定，</w:t>
            </w:r>
            <w:r>
              <w:rPr>
                <w:rFonts w:hint="eastAsia" w:hAnsi="宋体" w:cs="宋体"/>
                <w:color w:val="auto"/>
                <w:sz w:val="24"/>
                <w:szCs w:val="24"/>
                <w:highlight w:val="none"/>
                <w:lang w:val="en-US" w:eastAsia="zh-CN" w:bidi="ar-SA"/>
              </w:rPr>
              <w:t>本项目专门面向中小企业采购</w:t>
            </w:r>
            <w:r>
              <w:rPr>
                <w:rFonts w:hint="eastAsia" w:hAnsi="宋体" w:eastAsia="宋体" w:cs="宋体"/>
                <w:color w:val="auto"/>
                <w:sz w:val="24"/>
                <w:szCs w:val="24"/>
                <w:highlight w:val="none"/>
                <w:lang w:val="en-US" w:eastAsia="zh-CN" w:bidi="ar-SA"/>
              </w:rPr>
              <w:t>。</w:t>
            </w:r>
          </w:p>
          <w:p w14:paraId="1C6BAAD6">
            <w:pPr>
              <w:keepNext w:val="0"/>
              <w:keepLines w:val="0"/>
              <w:pageBreakBefore w:val="0"/>
              <w:widowControl w:val="0"/>
              <w:numPr>
                <w:ilvl w:val="0"/>
                <w:numId w:val="0"/>
              </w:numPr>
              <w:kinsoku/>
              <w:wordWrap/>
              <w:overflowPunct/>
              <w:topLinePunct w:val="0"/>
              <w:autoSpaceDE/>
              <w:autoSpaceDN/>
              <w:bidi w:val="0"/>
              <w:spacing w:line="480" w:lineRule="exact"/>
              <w:ind w:right="120" w:rightChars="5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二、参加政府采购活动的中小微企业应当提供《中小企业声明函》。若为监狱企业应当提供《监狱企业证明》。若为残疾人福利性单位应当提供《残疾人福利性单位声明函》。 </w:t>
            </w:r>
          </w:p>
          <w:p w14:paraId="1D11E25D">
            <w:pPr>
              <w:pStyle w:val="46"/>
              <w:keepNext w:val="0"/>
              <w:keepLines w:val="0"/>
              <w:pageBreakBefore w:val="0"/>
              <w:widowControl w:val="0"/>
              <w:numPr>
                <w:ilvl w:val="0"/>
                <w:numId w:val="0"/>
              </w:numPr>
              <w:kinsoku/>
              <w:wordWrap/>
              <w:overflowPunct/>
              <w:topLinePunct w:val="0"/>
              <w:autoSpaceDE/>
              <w:autoSpaceDN/>
              <w:bidi w:val="0"/>
              <w:spacing w:line="480" w:lineRule="exact"/>
              <w:rPr>
                <w:rFonts w:hint="default"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lang w:val="en-US" w:eastAsia="zh-CN" w:bidi="ar-SA"/>
              </w:rPr>
              <w:t>三、</w:t>
            </w:r>
            <w:bookmarkStart w:id="39" w:name="OLE_LINK17"/>
            <w:r>
              <w:rPr>
                <w:rFonts w:hint="eastAsia" w:ascii="宋体" w:hAnsi="宋体" w:eastAsia="宋体" w:cs="宋体"/>
                <w:color w:val="auto"/>
                <w:sz w:val="24"/>
                <w:szCs w:val="24"/>
                <w:highlight w:val="none"/>
                <w:lang w:val="en-US" w:eastAsia="zh-CN" w:bidi="ar-SA"/>
              </w:rPr>
              <w:t>本项目采购内容对应的中小企业划分标准所属行业</w:t>
            </w:r>
            <w:r>
              <w:rPr>
                <w:rFonts w:hint="eastAsia" w:ascii="宋体" w:hAnsi="宋体" w:eastAsia="宋体" w:cs="宋体"/>
                <w:b/>
                <w:bCs/>
                <w:color w:val="auto"/>
                <w:sz w:val="24"/>
                <w:szCs w:val="24"/>
                <w:highlight w:val="none"/>
                <w:u w:val="single"/>
                <w:lang w:val="en-US" w:eastAsia="zh-CN" w:bidi="ar-SA"/>
              </w:rPr>
              <w:t>工业</w:t>
            </w:r>
            <w:r>
              <w:rPr>
                <w:rFonts w:hint="eastAsia" w:hAnsi="宋体" w:eastAsia="宋体" w:cs="宋体"/>
                <w:color w:val="auto"/>
                <w:sz w:val="24"/>
                <w:szCs w:val="24"/>
                <w:highlight w:val="none"/>
                <w:u w:val="single"/>
                <w:lang w:val="en-US" w:eastAsia="zh-CN" w:bidi="ar-SA"/>
              </w:rPr>
              <w:t>。</w:t>
            </w:r>
            <w:bookmarkEnd w:id="39"/>
          </w:p>
          <w:p w14:paraId="26B63942">
            <w:pPr>
              <w:keepNext w:val="0"/>
              <w:keepLines w:val="0"/>
              <w:pageBreakBefore w:val="0"/>
              <w:widowControl w:val="0"/>
              <w:kinsoku/>
              <w:wordWrap/>
              <w:overflowPunct/>
              <w:topLinePunct w:val="0"/>
              <w:autoSpaceDE/>
              <w:autoSpaceDN/>
              <w:bidi w:val="0"/>
              <w:spacing w:line="480" w:lineRule="exact"/>
              <w:ind w:right="120" w:rightChars="50"/>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注：</w:t>
            </w:r>
          </w:p>
          <w:p w14:paraId="6C72B31C">
            <w:pPr>
              <w:keepNext w:val="0"/>
              <w:keepLines w:val="0"/>
              <w:pageBreakBefore w:val="0"/>
              <w:widowControl w:val="0"/>
              <w:kinsoku/>
              <w:wordWrap/>
              <w:overflowPunct/>
              <w:topLinePunct w:val="0"/>
              <w:autoSpaceDE/>
              <w:autoSpaceDN/>
              <w:bidi w:val="0"/>
              <w:spacing w:line="480" w:lineRule="exact"/>
              <w:jc w:val="left"/>
              <w:rPr>
                <w:rFonts w:hint="eastAsia" w:hAnsi="宋体" w:cs="宋体"/>
                <w:bCs/>
                <w:color w:val="auto"/>
                <w:kern w:val="2"/>
                <w:sz w:val="24"/>
                <w:szCs w:val="24"/>
                <w:highlight w:val="none"/>
              </w:rPr>
            </w:pPr>
            <w:r>
              <w:rPr>
                <w:rFonts w:hint="eastAsia" w:ascii="宋体" w:hAnsi="宋体" w:eastAsia="宋体" w:cs="宋体"/>
                <w:color w:val="auto"/>
                <w:sz w:val="24"/>
                <w:szCs w:val="24"/>
              </w:rPr>
              <w:t>提供服务的企业在中华人民共和国境内依法设立，符合《工业和信息化部、国家统计局、国家发展和改革委员会、财政部关于印发中小企业划型标准规定的通知》（工信部联企业〔2011〕300号）规定的划分标准为小微企业，但与大企业的负责人为同一人，或者与大企业存在直接控股、管理关系的除外适用。符合中小企业划分标准的个体工商户，在政府采购活动中视同中小企业。按照财库[2014]68号文的规定监狱企业视同为小微企业。 按照财库〔2017〕141号文的规定残疾人福利性单位视同为小微企业。</w:t>
            </w:r>
          </w:p>
        </w:tc>
      </w:tr>
      <w:tr w14:paraId="3982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474A8104">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eastAsia="宋体" w:cs="宋体"/>
                <w:bCs/>
                <w:color w:val="auto"/>
                <w:kern w:val="2"/>
                <w:sz w:val="24"/>
                <w:szCs w:val="24"/>
                <w:highlight w:val="none"/>
                <w:lang w:eastAsia="zh-CN"/>
              </w:rPr>
            </w:pPr>
            <w:r>
              <w:rPr>
                <w:rFonts w:hint="eastAsia" w:hAnsi="宋体" w:cs="宋体"/>
                <w:bCs/>
                <w:color w:val="auto"/>
                <w:kern w:val="2"/>
                <w:sz w:val="24"/>
                <w:szCs w:val="24"/>
                <w:highlight w:val="none"/>
                <w:lang w:val="en-US" w:eastAsia="zh-CN"/>
              </w:rPr>
              <w:t>8</w:t>
            </w:r>
          </w:p>
        </w:tc>
        <w:tc>
          <w:tcPr>
            <w:tcW w:w="2039" w:type="dxa"/>
            <w:noWrap w:val="0"/>
            <w:vAlign w:val="center"/>
          </w:tcPr>
          <w:p w14:paraId="1F87B46E">
            <w:pPr>
              <w:keepNext w:val="0"/>
              <w:keepLines w:val="0"/>
              <w:pageBreakBefore w:val="0"/>
              <w:widowControl w:val="0"/>
              <w:kinsoku/>
              <w:wordWrap/>
              <w:overflowPunct/>
              <w:topLinePunct w:val="0"/>
              <w:autoSpaceDE/>
              <w:autoSpaceDN/>
              <w:bidi w:val="0"/>
              <w:spacing w:line="48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rPr>
              <w:t>采购结果公告</w:t>
            </w:r>
          </w:p>
        </w:tc>
        <w:tc>
          <w:tcPr>
            <w:tcW w:w="6026" w:type="dxa"/>
            <w:noWrap w:val="0"/>
            <w:vAlign w:val="center"/>
          </w:tcPr>
          <w:p w14:paraId="3BE60417">
            <w:pPr>
              <w:keepNext w:val="0"/>
              <w:keepLines w:val="0"/>
              <w:pageBreakBefore w:val="0"/>
              <w:widowControl w:val="0"/>
              <w:kinsoku/>
              <w:wordWrap/>
              <w:overflowPunct/>
              <w:topLinePunct w:val="0"/>
              <w:autoSpaceDE/>
              <w:autoSpaceDN/>
              <w:bidi w:val="0"/>
              <w:spacing w:line="48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rPr>
              <w:t>评审结果将依法在“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"http://cebpubservice.cn/" </w:instrText>
            </w:r>
            <w:r>
              <w:rPr>
                <w:rFonts w:hint="eastAsia" w:ascii="宋体" w:hAnsi="宋体" w:eastAsia="宋体" w:cs="宋体"/>
                <w:color w:val="auto"/>
                <w:sz w:val="24"/>
                <w:szCs w:val="24"/>
              </w:rPr>
              <w:fldChar w:fldCharType="separate"/>
            </w:r>
            <w:r>
              <w:rPr>
                <w:rFonts w:hint="eastAsia" w:ascii="宋体" w:hAnsi="宋体" w:cs="宋体"/>
                <w:color w:val="auto"/>
                <w:sz w:val="24"/>
                <w:szCs w:val="24"/>
                <w:lang w:eastAsia="zh-CN"/>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及“</w:t>
            </w:r>
            <w:r>
              <w:rPr>
                <w:rFonts w:hint="eastAsia" w:ascii="宋体" w:hAnsi="宋体" w:eastAsia="宋体" w:cs="宋体"/>
                <w:b w:val="0"/>
                <w:bCs/>
                <w:color w:val="auto"/>
                <w:sz w:val="24"/>
                <w:szCs w:val="28"/>
                <w:highlight w:val="none"/>
                <w:lang w:val="en-US" w:eastAsia="zh-CN"/>
              </w:rPr>
              <w:t>四川联采招汇电子招标采购平台</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上予以公告。</w:t>
            </w:r>
          </w:p>
        </w:tc>
      </w:tr>
      <w:tr w14:paraId="79BE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32F79DE3">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eastAsia" w:hAnsi="宋体" w:eastAsia="宋体" w:cs="宋体"/>
                <w:bCs/>
                <w:color w:val="auto"/>
                <w:kern w:val="2"/>
                <w:sz w:val="24"/>
                <w:szCs w:val="24"/>
                <w:highlight w:val="none"/>
                <w:lang w:eastAsia="zh-CN"/>
              </w:rPr>
            </w:pPr>
            <w:r>
              <w:rPr>
                <w:rFonts w:hint="eastAsia" w:hAnsi="宋体" w:cs="宋体"/>
                <w:bCs/>
                <w:color w:val="auto"/>
                <w:kern w:val="2"/>
                <w:sz w:val="24"/>
                <w:szCs w:val="24"/>
                <w:highlight w:val="none"/>
                <w:lang w:val="en-US" w:eastAsia="zh-CN"/>
              </w:rPr>
              <w:t>9</w:t>
            </w:r>
          </w:p>
        </w:tc>
        <w:tc>
          <w:tcPr>
            <w:tcW w:w="2039" w:type="dxa"/>
            <w:noWrap w:val="0"/>
            <w:vAlign w:val="center"/>
          </w:tcPr>
          <w:p w14:paraId="1CDF0952">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rPr>
              <w:t>考察现场、标前答疑会</w:t>
            </w:r>
          </w:p>
        </w:tc>
        <w:tc>
          <w:tcPr>
            <w:tcW w:w="6026" w:type="dxa"/>
            <w:noWrap w:val="0"/>
            <w:vAlign w:val="center"/>
          </w:tcPr>
          <w:p w14:paraId="15946909">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rPr>
              <w:t>招标采购单位认为有必要，另行书面通知。</w:t>
            </w:r>
          </w:p>
        </w:tc>
      </w:tr>
      <w:tr w14:paraId="752B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30D14584">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cs="宋体"/>
                <w:bCs/>
                <w:color w:val="auto"/>
                <w:kern w:val="2"/>
                <w:sz w:val="24"/>
                <w:szCs w:val="24"/>
                <w:highlight w:val="none"/>
                <w:lang w:val="en-US" w:eastAsia="zh-CN"/>
              </w:rPr>
              <w:t>10</w:t>
            </w:r>
          </w:p>
        </w:tc>
        <w:tc>
          <w:tcPr>
            <w:tcW w:w="2039" w:type="dxa"/>
            <w:noWrap w:val="0"/>
            <w:vAlign w:val="center"/>
          </w:tcPr>
          <w:p w14:paraId="22BD8D26">
            <w:pPr>
              <w:keepNext w:val="0"/>
              <w:keepLines w:val="0"/>
              <w:pageBreakBefore w:val="0"/>
              <w:widowControl w:val="0"/>
              <w:kinsoku/>
              <w:wordWrap/>
              <w:overflowPunct/>
              <w:topLinePunct w:val="0"/>
              <w:autoSpaceDE/>
              <w:autoSpaceDN/>
              <w:bidi w:val="0"/>
              <w:spacing w:line="480" w:lineRule="exact"/>
              <w:ind w:right="120" w:rightChars="50"/>
              <w:jc w:val="left"/>
              <w:rPr>
                <w:rFonts w:hint="eastAsia" w:cs="宋体"/>
                <w:bCs/>
                <w:color w:val="auto"/>
                <w:kern w:val="2"/>
                <w:szCs w:val="24"/>
                <w:highlight w:val="none"/>
              </w:rPr>
            </w:pPr>
            <w:r>
              <w:rPr>
                <w:rFonts w:hint="eastAsia" w:hAnsi="宋体" w:cs="宋体"/>
                <w:color w:val="auto"/>
                <w:sz w:val="24"/>
                <w:szCs w:val="24"/>
              </w:rPr>
              <w:t>投标人对招标文件提出质疑的时间</w:t>
            </w:r>
          </w:p>
        </w:tc>
        <w:tc>
          <w:tcPr>
            <w:tcW w:w="6026" w:type="dxa"/>
            <w:noWrap w:val="0"/>
            <w:vAlign w:val="center"/>
          </w:tcPr>
          <w:p w14:paraId="313C817A">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lang w:val="en-US" w:eastAsia="zh-CN"/>
              </w:rPr>
              <w:t>按照</w:t>
            </w:r>
            <w:r>
              <w:rPr>
                <w:rFonts w:hint="eastAsia" w:hAnsi="宋体" w:cs="宋体"/>
                <w:color w:val="auto"/>
                <w:sz w:val="24"/>
                <w:szCs w:val="24"/>
              </w:rPr>
              <w:t>中华人民共和国财政部令第94号《政府采购质疑和投诉办法》规定执行。</w:t>
            </w:r>
          </w:p>
        </w:tc>
      </w:tr>
      <w:tr w14:paraId="4B2E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609C5428">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cs="宋体"/>
                <w:bCs/>
                <w:color w:val="auto"/>
                <w:kern w:val="2"/>
                <w:sz w:val="24"/>
                <w:szCs w:val="24"/>
                <w:highlight w:val="none"/>
                <w:lang w:val="en-US" w:eastAsia="zh-CN"/>
              </w:rPr>
            </w:pPr>
            <w:r>
              <w:rPr>
                <w:rFonts w:hint="eastAsia" w:hAnsi="宋体" w:cs="宋体"/>
                <w:bCs/>
                <w:color w:val="auto"/>
                <w:kern w:val="2"/>
                <w:sz w:val="24"/>
                <w:szCs w:val="24"/>
                <w:highlight w:val="none"/>
                <w:lang w:val="en-US" w:eastAsia="zh-CN"/>
              </w:rPr>
              <w:t>11</w:t>
            </w:r>
          </w:p>
        </w:tc>
        <w:tc>
          <w:tcPr>
            <w:tcW w:w="2039" w:type="dxa"/>
            <w:noWrap w:val="0"/>
            <w:vAlign w:val="center"/>
          </w:tcPr>
          <w:p w14:paraId="1C31FB74">
            <w:pPr>
              <w:keepNext w:val="0"/>
              <w:keepLines w:val="0"/>
              <w:pageBreakBefore w:val="0"/>
              <w:widowControl w:val="0"/>
              <w:kinsoku/>
              <w:wordWrap/>
              <w:overflowPunct/>
              <w:topLinePunct w:val="0"/>
              <w:autoSpaceDE/>
              <w:autoSpaceDN/>
              <w:bidi w:val="0"/>
              <w:spacing w:line="480" w:lineRule="exact"/>
              <w:ind w:right="120" w:rightChars="50"/>
              <w:jc w:val="left"/>
              <w:rPr>
                <w:rFonts w:hint="eastAsia" w:hAnsi="宋体" w:cs="宋体"/>
                <w:color w:val="auto"/>
                <w:sz w:val="24"/>
                <w:szCs w:val="24"/>
              </w:rPr>
            </w:pPr>
            <w:r>
              <w:rPr>
                <w:rFonts w:hint="eastAsia" w:hAnsi="宋体" w:cs="宋体"/>
                <w:color w:val="auto"/>
                <w:sz w:val="24"/>
                <w:szCs w:val="24"/>
                <w:lang w:val="en-US" w:eastAsia="zh-CN"/>
              </w:rPr>
              <w:t>投标</w:t>
            </w:r>
            <w:r>
              <w:rPr>
                <w:rFonts w:hint="eastAsia" w:hAnsi="宋体" w:cs="宋体"/>
                <w:color w:val="auto"/>
                <w:sz w:val="24"/>
                <w:szCs w:val="24"/>
              </w:rPr>
              <w:t>文件份数</w:t>
            </w:r>
          </w:p>
        </w:tc>
        <w:tc>
          <w:tcPr>
            <w:tcW w:w="6026" w:type="dxa"/>
            <w:noWrap w:val="0"/>
            <w:vAlign w:val="center"/>
          </w:tcPr>
          <w:p w14:paraId="1489FC9B">
            <w:pPr>
              <w:keepNext w:val="0"/>
              <w:keepLines w:val="0"/>
              <w:pageBreakBefore w:val="0"/>
              <w:widowControl w:val="0"/>
              <w:kinsoku/>
              <w:wordWrap/>
              <w:overflowPunct/>
              <w:topLinePunct w:val="0"/>
              <w:autoSpaceDE/>
              <w:autoSpaceDN/>
              <w:bidi w:val="0"/>
              <w:spacing w:line="480" w:lineRule="exact"/>
              <w:ind w:right="120" w:rightChars="50"/>
              <w:rPr>
                <w:rFonts w:hint="eastAsia" w:hAnsi="宋体" w:cs="宋体"/>
                <w:color w:val="auto"/>
                <w:sz w:val="24"/>
                <w:szCs w:val="24"/>
                <w:lang w:val="en-US" w:eastAsia="zh-CN"/>
              </w:rPr>
            </w:pPr>
            <w:r>
              <w:rPr>
                <w:rFonts w:hint="eastAsia" w:ascii="宋体" w:hAnsi="宋体" w:eastAsia="宋体" w:cs="宋体"/>
                <w:color w:val="auto"/>
                <w:sz w:val="24"/>
                <w:szCs w:val="24"/>
                <w:highlight w:val="none"/>
                <w:lang w:val="en-US" w:eastAsia="zh-CN"/>
              </w:rPr>
              <w:t>本项目为线</w:t>
            </w:r>
            <w:r>
              <w:rPr>
                <w:rFonts w:hint="eastAsia" w:ascii="宋体" w:hAnsi="宋体" w:cs="宋体"/>
                <w:color w:val="auto"/>
                <w:sz w:val="24"/>
                <w:szCs w:val="24"/>
                <w:highlight w:val="none"/>
                <w:lang w:val="en-US" w:eastAsia="zh-CN"/>
              </w:rPr>
              <w:t>上</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资格性</w:t>
            </w:r>
            <w:r>
              <w:rPr>
                <w:rFonts w:hint="eastAsia" w:ascii="宋体" w:hAnsi="宋体" w:cs="宋体"/>
                <w:color w:val="auto"/>
                <w:sz w:val="24"/>
                <w:szCs w:val="24"/>
                <w:highlight w:val="none"/>
                <w:lang w:eastAsia="zh-CN"/>
              </w:rPr>
              <w:t>投标文件</w:t>
            </w:r>
            <w:r>
              <w:rPr>
                <w:rFonts w:hint="eastAsia" w:ascii="宋体" w:hAnsi="宋体" w:eastAsia="宋体" w:cs="宋体"/>
                <w:color w:val="auto"/>
                <w:sz w:val="24"/>
                <w:szCs w:val="24"/>
                <w:highlight w:val="none"/>
              </w:rPr>
              <w:t>及其他</w:t>
            </w:r>
            <w:r>
              <w:rPr>
                <w:rFonts w:hint="eastAsia" w:ascii="宋体" w:hAnsi="宋体" w:cs="宋体"/>
                <w:color w:val="auto"/>
                <w:sz w:val="24"/>
                <w:szCs w:val="24"/>
                <w:highlight w:val="none"/>
                <w:lang w:eastAsia="zh-CN"/>
              </w:rPr>
              <w:t>投标文件</w:t>
            </w:r>
            <w:r>
              <w:rPr>
                <w:rFonts w:hint="eastAsia" w:ascii="宋体" w:hAnsi="宋体" w:eastAsia="宋体" w:cs="宋体"/>
                <w:color w:val="auto"/>
                <w:sz w:val="24"/>
                <w:szCs w:val="24"/>
                <w:highlight w:val="none"/>
              </w:rPr>
              <w:t>分别</w:t>
            </w:r>
            <w:r>
              <w:rPr>
                <w:rFonts w:hint="eastAsia" w:ascii="宋体" w:hAnsi="宋体" w:cs="宋体"/>
                <w:color w:val="auto"/>
                <w:sz w:val="24"/>
                <w:szCs w:val="24"/>
                <w:highlight w:val="none"/>
                <w:lang w:val="en-US" w:eastAsia="zh-CN"/>
              </w:rPr>
              <w:t>制作并合并为</w:t>
            </w:r>
            <w:r>
              <w:rPr>
                <w:rFonts w:hint="eastAsia" w:ascii="宋体" w:hAnsi="宋体" w:eastAsia="宋体" w:cs="宋体"/>
                <w:color w:val="auto"/>
                <w:sz w:val="24"/>
                <w:szCs w:val="24"/>
                <w:highlight w:val="none"/>
                <w:lang w:val="en-US" w:eastAsia="zh-CN"/>
              </w:rPr>
              <w:t>电子版文件1份，电子版文件须按</w:t>
            </w:r>
            <w:r>
              <w:rPr>
                <w:rFonts w:hint="eastAsia" w:ascii="宋体" w:hAnsi="宋体" w:cs="宋体"/>
                <w:color w:val="auto"/>
                <w:sz w:val="24"/>
                <w:szCs w:val="24"/>
                <w:highlight w:val="none"/>
                <w:lang w:val="en-US" w:eastAsia="zh-CN"/>
              </w:rPr>
              <w:t>招标文件</w:t>
            </w:r>
            <w:r>
              <w:rPr>
                <w:rFonts w:hint="eastAsia" w:ascii="宋体" w:hAnsi="宋体" w:eastAsia="宋体" w:cs="宋体"/>
                <w:color w:val="auto"/>
                <w:sz w:val="24"/>
                <w:szCs w:val="24"/>
                <w:highlight w:val="none"/>
                <w:lang w:val="en-US" w:eastAsia="zh-CN"/>
              </w:rPr>
              <w:t>要求签章（加密）、签字或盖章并上传。</w:t>
            </w:r>
          </w:p>
        </w:tc>
      </w:tr>
      <w:tr w14:paraId="4C2F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47B1B622">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cs="宋体"/>
                <w:bCs/>
                <w:color w:val="auto"/>
                <w:kern w:val="2"/>
                <w:sz w:val="24"/>
                <w:szCs w:val="24"/>
                <w:highlight w:val="none"/>
                <w:lang w:val="en-US" w:eastAsia="zh-CN"/>
              </w:rPr>
              <w:t>12</w:t>
            </w:r>
          </w:p>
        </w:tc>
        <w:tc>
          <w:tcPr>
            <w:tcW w:w="2039" w:type="dxa"/>
            <w:noWrap w:val="0"/>
            <w:vAlign w:val="center"/>
          </w:tcPr>
          <w:p w14:paraId="71A837AA">
            <w:pPr>
              <w:keepNext w:val="0"/>
              <w:keepLines w:val="0"/>
              <w:pageBreakBefore w:val="0"/>
              <w:widowControl w:val="0"/>
              <w:kinsoku/>
              <w:wordWrap/>
              <w:overflowPunct/>
              <w:topLinePunct w:val="0"/>
              <w:autoSpaceDE/>
              <w:autoSpaceDN/>
              <w:bidi w:val="0"/>
              <w:spacing w:line="480" w:lineRule="exact"/>
              <w:ind w:right="120" w:rightChars="50" w:hanging="3" w:firstLineChars="0"/>
              <w:jc w:val="left"/>
              <w:rPr>
                <w:rFonts w:hint="eastAsia" w:cs="宋体"/>
                <w:bCs/>
                <w:color w:val="auto"/>
                <w:kern w:val="2"/>
                <w:szCs w:val="24"/>
                <w:highlight w:val="none"/>
              </w:rPr>
            </w:pPr>
            <w:r>
              <w:rPr>
                <w:rFonts w:hint="eastAsia" w:hAnsi="宋体" w:cs="宋体"/>
                <w:color w:val="auto"/>
                <w:sz w:val="24"/>
                <w:szCs w:val="24"/>
              </w:rPr>
              <w:t>构成招标文件的其他文件</w:t>
            </w:r>
          </w:p>
        </w:tc>
        <w:tc>
          <w:tcPr>
            <w:tcW w:w="6026" w:type="dxa"/>
            <w:noWrap w:val="0"/>
            <w:vAlign w:val="center"/>
          </w:tcPr>
          <w:p w14:paraId="4F11B82D">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rPr>
              <w:t>招标文件的澄清、修改书及有关补充通知为招标文件的有效组成部分。</w:t>
            </w:r>
          </w:p>
        </w:tc>
      </w:tr>
      <w:tr w14:paraId="4EBB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noWrap w:val="0"/>
            <w:vAlign w:val="center"/>
          </w:tcPr>
          <w:p w14:paraId="49A1B099">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cs="宋体"/>
                <w:bCs/>
                <w:color w:val="auto"/>
                <w:kern w:val="2"/>
                <w:sz w:val="24"/>
                <w:szCs w:val="24"/>
                <w:highlight w:val="none"/>
              </w:rPr>
              <w:t>1</w:t>
            </w:r>
            <w:r>
              <w:rPr>
                <w:rFonts w:hint="eastAsia" w:hAnsi="宋体" w:cs="宋体"/>
                <w:bCs/>
                <w:color w:val="auto"/>
                <w:kern w:val="2"/>
                <w:sz w:val="24"/>
                <w:szCs w:val="24"/>
                <w:highlight w:val="none"/>
                <w:lang w:val="en-US" w:eastAsia="zh-CN"/>
              </w:rPr>
              <w:t>3</w:t>
            </w:r>
          </w:p>
        </w:tc>
        <w:tc>
          <w:tcPr>
            <w:tcW w:w="2039" w:type="dxa"/>
            <w:noWrap w:val="0"/>
            <w:vAlign w:val="center"/>
          </w:tcPr>
          <w:p w14:paraId="0B813540">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highlight w:val="none"/>
              </w:rPr>
              <w:t>投标有效期</w:t>
            </w:r>
          </w:p>
        </w:tc>
        <w:tc>
          <w:tcPr>
            <w:tcW w:w="6026" w:type="dxa"/>
            <w:noWrap w:val="0"/>
            <w:vAlign w:val="center"/>
          </w:tcPr>
          <w:p w14:paraId="2633DFF7">
            <w:pPr>
              <w:keepNext w:val="0"/>
              <w:keepLines w:val="0"/>
              <w:pageBreakBefore w:val="0"/>
              <w:widowControl w:val="0"/>
              <w:kinsoku/>
              <w:wordWrap/>
              <w:overflowPunct/>
              <w:topLinePunct w:val="0"/>
              <w:autoSpaceDE/>
              <w:autoSpaceDN/>
              <w:bidi w:val="0"/>
              <w:spacing w:line="480" w:lineRule="exact"/>
              <w:ind w:right="120" w:rightChars="50"/>
              <w:rPr>
                <w:rFonts w:hint="eastAsia" w:cs="宋体"/>
                <w:bCs/>
                <w:color w:val="auto"/>
                <w:kern w:val="2"/>
                <w:szCs w:val="24"/>
                <w:highlight w:val="none"/>
              </w:rPr>
            </w:pPr>
            <w:r>
              <w:rPr>
                <w:rFonts w:hint="eastAsia" w:hAnsi="宋体" w:cs="宋体"/>
                <w:color w:val="auto"/>
                <w:sz w:val="24"/>
                <w:szCs w:val="24"/>
                <w:highlight w:val="none"/>
              </w:rPr>
              <w:t>提交投标文件的截止之日起 90 天。</w:t>
            </w:r>
          </w:p>
        </w:tc>
      </w:tr>
      <w:tr w14:paraId="62F6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2A8E2C48">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cs="宋体"/>
                <w:bCs/>
                <w:color w:val="auto"/>
                <w:kern w:val="2"/>
                <w:sz w:val="24"/>
                <w:szCs w:val="24"/>
                <w:highlight w:val="none"/>
                <w:lang w:val="en-US" w:eastAsia="zh-CN"/>
              </w:rPr>
              <w:t>15</w:t>
            </w:r>
          </w:p>
        </w:tc>
        <w:tc>
          <w:tcPr>
            <w:tcW w:w="2039" w:type="dxa"/>
            <w:noWrap w:val="0"/>
            <w:vAlign w:val="center"/>
          </w:tcPr>
          <w:p w14:paraId="50DCD939">
            <w:pPr>
              <w:pStyle w:val="546"/>
              <w:keepNext w:val="0"/>
              <w:keepLines w:val="0"/>
              <w:pageBreakBefore w:val="0"/>
              <w:widowControl w:val="0"/>
              <w:tabs>
                <w:tab w:val="left" w:pos="7665"/>
              </w:tabs>
              <w:kinsoku/>
              <w:wordWrap/>
              <w:overflowPunct/>
              <w:topLinePunct w:val="0"/>
              <w:autoSpaceDE/>
              <w:autoSpaceDN/>
              <w:bidi w:val="0"/>
              <w:snapToGrid w:val="0"/>
              <w:spacing w:line="480" w:lineRule="exact"/>
              <w:jc w:val="left"/>
              <w:textAlignment w:val="auto"/>
              <w:rPr>
                <w:rFonts w:hint="eastAsia" w:eastAsia="宋体" w:cs="宋体"/>
                <w:bCs/>
                <w:color w:val="auto"/>
                <w:kern w:val="2"/>
                <w:szCs w:val="24"/>
                <w:highlight w:val="none"/>
                <w:lang w:eastAsia="zh-CN"/>
              </w:rPr>
            </w:pPr>
            <w:r>
              <w:rPr>
                <w:rFonts w:hint="eastAsia" w:eastAsia="宋体" w:cs="宋体"/>
                <w:bCs/>
                <w:color w:val="auto"/>
                <w:kern w:val="2"/>
                <w:szCs w:val="24"/>
                <w:highlight w:val="none"/>
                <w:lang w:eastAsia="zh-CN"/>
              </w:rPr>
              <w:t>招标文件、开评标工作咨询咨询</w:t>
            </w:r>
          </w:p>
        </w:tc>
        <w:tc>
          <w:tcPr>
            <w:tcW w:w="6026" w:type="dxa"/>
            <w:noWrap w:val="0"/>
            <w:vAlign w:val="center"/>
          </w:tcPr>
          <w:p w14:paraId="13D322BD">
            <w:pPr>
              <w:wordWrap w:val="0"/>
              <w:spacing w:line="360" w:lineRule="auto"/>
              <w:jc w:val="left"/>
              <w:rPr>
                <w:rFonts w:hint="eastAsia" w:hAnsi="宋体" w:cs="宋体"/>
                <w:color w:val="auto"/>
                <w:sz w:val="24"/>
                <w:szCs w:val="24"/>
              </w:rPr>
            </w:pPr>
            <w:bookmarkStart w:id="40" w:name="OLE_LINK19"/>
            <w:r>
              <w:rPr>
                <w:rFonts w:hint="eastAsia" w:hAnsi="宋体" w:cs="宋体"/>
                <w:color w:val="auto"/>
                <w:sz w:val="24"/>
                <w:szCs w:val="24"/>
              </w:rPr>
              <w:t>联 系 人：</w:t>
            </w:r>
            <w:r>
              <w:rPr>
                <w:rFonts w:hint="eastAsia" w:hAnsi="宋体" w:cs="宋体"/>
                <w:color w:val="auto"/>
                <w:sz w:val="24"/>
                <w:szCs w:val="24"/>
                <w:lang w:val="en-US" w:eastAsia="zh-CN"/>
              </w:rPr>
              <w:t>粟老师</w:t>
            </w:r>
          </w:p>
          <w:p w14:paraId="2CC654A8">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default" w:hAnsi="宋体" w:cs="宋体"/>
                <w:bCs/>
                <w:color w:val="auto"/>
                <w:kern w:val="2"/>
                <w:sz w:val="24"/>
                <w:szCs w:val="24"/>
                <w:highlight w:val="none"/>
                <w:lang w:val="en-US"/>
              </w:rPr>
            </w:pPr>
            <w:r>
              <w:rPr>
                <w:rFonts w:hint="eastAsia" w:hAnsi="宋体" w:cs="宋体"/>
                <w:color w:val="auto"/>
                <w:sz w:val="24"/>
                <w:szCs w:val="24"/>
              </w:rPr>
              <w:t>联系电话：</w:t>
            </w:r>
            <w:bookmarkEnd w:id="40"/>
            <w:r>
              <w:rPr>
                <w:rFonts w:hint="eastAsia" w:hAnsi="宋体" w:cs="宋体"/>
                <w:color w:val="auto"/>
                <w:sz w:val="24"/>
                <w:szCs w:val="24"/>
                <w:lang w:eastAsia="zh-CN"/>
              </w:rPr>
              <w:t>0834-</w:t>
            </w:r>
            <w:r>
              <w:rPr>
                <w:rFonts w:hint="eastAsia" w:hAnsi="宋体" w:cs="宋体"/>
                <w:color w:val="auto"/>
                <w:sz w:val="24"/>
                <w:szCs w:val="24"/>
                <w:lang w:val="en-US" w:eastAsia="zh-CN"/>
              </w:rPr>
              <w:t>3355330</w:t>
            </w:r>
          </w:p>
        </w:tc>
      </w:tr>
      <w:tr w14:paraId="370F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3C4FC795">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eastAsia="宋体" w:cs="宋体"/>
                <w:bCs/>
                <w:color w:val="auto"/>
                <w:kern w:val="2"/>
                <w:sz w:val="24"/>
                <w:szCs w:val="24"/>
                <w:highlight w:val="none"/>
                <w:lang w:val="en-US" w:eastAsia="zh-CN"/>
              </w:rPr>
              <w:t>1</w:t>
            </w:r>
            <w:r>
              <w:rPr>
                <w:rFonts w:hint="eastAsia" w:hAnsi="宋体" w:cs="宋体"/>
                <w:bCs/>
                <w:color w:val="auto"/>
                <w:kern w:val="2"/>
                <w:sz w:val="24"/>
                <w:szCs w:val="24"/>
                <w:highlight w:val="none"/>
                <w:lang w:val="en-US" w:eastAsia="zh-CN"/>
              </w:rPr>
              <w:t>6</w:t>
            </w:r>
          </w:p>
        </w:tc>
        <w:tc>
          <w:tcPr>
            <w:tcW w:w="2039" w:type="dxa"/>
            <w:noWrap w:val="0"/>
            <w:vAlign w:val="center"/>
          </w:tcPr>
          <w:p w14:paraId="12EAF588">
            <w:pPr>
              <w:keepNext w:val="0"/>
              <w:keepLines w:val="0"/>
              <w:pageBreakBefore w:val="0"/>
              <w:widowControl w:val="0"/>
              <w:kinsoku/>
              <w:wordWrap/>
              <w:overflowPunct/>
              <w:topLinePunct w:val="0"/>
              <w:autoSpaceDE/>
              <w:autoSpaceDN/>
              <w:bidi w:val="0"/>
              <w:spacing w:line="480" w:lineRule="exact"/>
              <w:jc w:val="left"/>
              <w:outlineLvl w:val="5"/>
              <w:rPr>
                <w:rFonts w:hint="eastAsia" w:hAnsi="宋体" w:cs="宋体"/>
                <w:bCs/>
                <w:color w:val="auto"/>
                <w:kern w:val="2"/>
                <w:sz w:val="24"/>
                <w:szCs w:val="24"/>
                <w:highlight w:val="none"/>
              </w:rPr>
            </w:pPr>
            <w:r>
              <w:rPr>
                <w:rFonts w:hint="eastAsia" w:hAnsi="宋体" w:cs="宋体"/>
                <w:bCs/>
                <w:color w:val="auto"/>
                <w:kern w:val="2"/>
                <w:sz w:val="24"/>
                <w:szCs w:val="24"/>
                <w:highlight w:val="none"/>
              </w:rPr>
              <w:t>中标通知书领取</w:t>
            </w:r>
          </w:p>
        </w:tc>
        <w:tc>
          <w:tcPr>
            <w:tcW w:w="6026" w:type="dxa"/>
            <w:noWrap w:val="0"/>
            <w:vAlign w:val="center"/>
          </w:tcPr>
          <w:p w14:paraId="10F780E0">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eastAsia" w:hAnsi="宋体" w:eastAsia="宋体" w:cs="宋体"/>
                <w:bCs/>
                <w:color w:val="auto"/>
                <w:kern w:val="2"/>
                <w:sz w:val="24"/>
                <w:szCs w:val="24"/>
                <w:highlight w:val="none"/>
                <w:lang w:eastAsia="zh-CN"/>
              </w:rPr>
            </w:pPr>
            <w:r>
              <w:rPr>
                <w:rFonts w:hint="eastAsia" w:hAnsi="宋体" w:eastAsia="宋体" w:cs="宋体"/>
                <w:bCs/>
                <w:color w:val="auto"/>
                <w:kern w:val="2"/>
                <w:sz w:val="24"/>
                <w:szCs w:val="24"/>
                <w:highlight w:val="none"/>
                <w:lang w:val="en-US" w:eastAsia="zh-CN"/>
              </w:rPr>
              <w:t>中标</w:t>
            </w:r>
            <w:r>
              <w:rPr>
                <w:rFonts w:hint="eastAsia" w:hAnsi="宋体" w:eastAsia="宋体" w:cs="宋体"/>
                <w:bCs/>
                <w:color w:val="auto"/>
                <w:kern w:val="2"/>
                <w:sz w:val="24"/>
                <w:szCs w:val="24"/>
                <w:highlight w:val="none"/>
                <w:lang w:eastAsia="zh-CN"/>
              </w:rPr>
              <w:t>公告在“</w:t>
            </w:r>
            <w:r>
              <w:rPr>
                <w:rFonts w:hint="eastAsia" w:hAnsi="宋体" w:cs="宋体"/>
                <w:bCs/>
                <w:color w:val="auto"/>
                <w:kern w:val="2"/>
                <w:sz w:val="24"/>
                <w:szCs w:val="24"/>
                <w:highlight w:val="none"/>
                <w:lang w:val="en-US" w:eastAsia="zh-CN"/>
              </w:rPr>
              <w:t>中国政府采购网</w:t>
            </w:r>
            <w:r>
              <w:rPr>
                <w:rFonts w:hint="eastAsia" w:hAnsi="宋体" w:eastAsia="宋体" w:cs="宋体"/>
                <w:bCs/>
                <w:color w:val="auto"/>
                <w:kern w:val="2"/>
                <w:sz w:val="24"/>
                <w:szCs w:val="24"/>
                <w:highlight w:val="none"/>
                <w:lang w:eastAsia="zh-CN"/>
              </w:rPr>
              <w:t>”</w:t>
            </w:r>
            <w:r>
              <w:rPr>
                <w:rFonts w:hint="eastAsia" w:hAnsi="宋体" w:cs="宋体"/>
                <w:bCs/>
                <w:color w:val="auto"/>
                <w:kern w:val="2"/>
                <w:sz w:val="24"/>
                <w:szCs w:val="24"/>
                <w:highlight w:val="none"/>
                <w:lang w:val="en-US" w:eastAsia="zh-CN"/>
              </w:rPr>
              <w:t>及</w:t>
            </w:r>
            <w:r>
              <w:rPr>
                <w:rFonts w:hint="eastAsia" w:ascii="宋体" w:hAnsi="宋体" w:cs="宋体"/>
                <w:color w:val="auto"/>
                <w:sz w:val="24"/>
                <w:szCs w:val="24"/>
                <w:lang w:val="en-US" w:eastAsia="zh-CN"/>
              </w:rPr>
              <w:t>“</w:t>
            </w:r>
            <w:r>
              <w:rPr>
                <w:rFonts w:hint="eastAsia" w:ascii="宋体" w:hAnsi="宋体" w:eastAsia="宋体" w:cs="宋体"/>
                <w:b w:val="0"/>
                <w:bCs/>
                <w:color w:val="auto"/>
                <w:sz w:val="24"/>
                <w:szCs w:val="28"/>
                <w:highlight w:val="none"/>
                <w:lang w:val="en-US" w:eastAsia="zh-CN"/>
              </w:rPr>
              <w:t>四川联采招汇电子招标采购平台</w:t>
            </w:r>
            <w:r>
              <w:rPr>
                <w:rFonts w:hint="eastAsia" w:ascii="宋体" w:hAnsi="宋体" w:cs="宋体"/>
                <w:color w:val="auto"/>
                <w:sz w:val="24"/>
                <w:szCs w:val="24"/>
                <w:lang w:val="en-US" w:eastAsia="zh-CN"/>
              </w:rPr>
              <w:t>”</w:t>
            </w:r>
            <w:r>
              <w:rPr>
                <w:rFonts w:hint="eastAsia" w:hAnsi="宋体" w:eastAsia="宋体" w:cs="宋体"/>
                <w:bCs/>
                <w:color w:val="auto"/>
                <w:kern w:val="2"/>
                <w:sz w:val="24"/>
                <w:szCs w:val="24"/>
                <w:highlight w:val="none"/>
                <w:lang w:eastAsia="zh-CN"/>
              </w:rPr>
              <w:t>上公告后，</w:t>
            </w:r>
            <w:r>
              <w:rPr>
                <w:rFonts w:hint="eastAsia" w:hAnsi="宋体" w:eastAsia="宋体" w:cs="宋体"/>
                <w:bCs/>
                <w:color w:val="auto"/>
                <w:kern w:val="2"/>
                <w:sz w:val="24"/>
                <w:szCs w:val="24"/>
                <w:highlight w:val="none"/>
                <w:lang w:val="en-US" w:eastAsia="zh-CN"/>
              </w:rPr>
              <w:t>中标人</w:t>
            </w:r>
            <w:r>
              <w:rPr>
                <w:rFonts w:hint="eastAsia" w:hAnsi="宋体" w:eastAsia="宋体" w:cs="宋体"/>
                <w:bCs/>
                <w:color w:val="auto"/>
                <w:kern w:val="2"/>
                <w:sz w:val="24"/>
                <w:szCs w:val="24"/>
                <w:highlight w:val="none"/>
                <w:lang w:eastAsia="zh-CN"/>
              </w:rPr>
              <w:t>凭有效身份证明证件（单位介绍信和个人身份证）到采购代理机构处领取</w:t>
            </w:r>
            <w:r>
              <w:rPr>
                <w:rFonts w:hint="eastAsia" w:hAnsi="宋体" w:eastAsia="宋体" w:cs="宋体"/>
                <w:bCs/>
                <w:color w:val="auto"/>
                <w:kern w:val="2"/>
                <w:sz w:val="24"/>
                <w:szCs w:val="24"/>
                <w:highlight w:val="none"/>
                <w:lang w:val="en-US" w:eastAsia="zh-CN"/>
              </w:rPr>
              <w:t>中标</w:t>
            </w:r>
            <w:r>
              <w:rPr>
                <w:rFonts w:hint="eastAsia" w:hAnsi="宋体" w:eastAsia="宋体" w:cs="宋体"/>
                <w:bCs/>
                <w:color w:val="auto"/>
                <w:kern w:val="2"/>
                <w:sz w:val="24"/>
                <w:szCs w:val="24"/>
                <w:highlight w:val="none"/>
                <w:lang w:eastAsia="zh-CN"/>
              </w:rPr>
              <w:t>通知书。</w:t>
            </w:r>
          </w:p>
          <w:p w14:paraId="51A13358">
            <w:pPr>
              <w:wordWrap w:val="0"/>
              <w:spacing w:line="360" w:lineRule="auto"/>
              <w:jc w:val="left"/>
              <w:rPr>
                <w:rFonts w:hint="eastAsia" w:hAnsi="宋体" w:cs="宋体"/>
                <w:color w:val="auto"/>
                <w:sz w:val="24"/>
                <w:szCs w:val="24"/>
              </w:rPr>
            </w:pPr>
            <w:r>
              <w:rPr>
                <w:rFonts w:hint="eastAsia" w:hAnsi="宋体" w:cs="宋体"/>
                <w:color w:val="auto"/>
                <w:sz w:val="24"/>
                <w:szCs w:val="24"/>
              </w:rPr>
              <w:t>联 系 人：</w:t>
            </w:r>
            <w:r>
              <w:rPr>
                <w:rFonts w:hint="eastAsia" w:hAnsi="宋体" w:cs="宋体"/>
                <w:color w:val="auto"/>
                <w:sz w:val="24"/>
                <w:szCs w:val="24"/>
                <w:lang w:val="en-US" w:eastAsia="zh-CN"/>
              </w:rPr>
              <w:t>粟老师</w:t>
            </w:r>
          </w:p>
          <w:p w14:paraId="4D6130EC">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default" w:hAnsi="宋体" w:eastAsia="宋体" w:cs="宋体"/>
                <w:bCs/>
                <w:color w:val="auto"/>
                <w:kern w:val="2"/>
                <w:sz w:val="24"/>
                <w:szCs w:val="24"/>
                <w:highlight w:val="none"/>
                <w:lang w:val="en-US" w:eastAsia="zh-CN"/>
              </w:rPr>
            </w:pPr>
            <w:r>
              <w:rPr>
                <w:rFonts w:hint="eastAsia" w:hAnsi="宋体" w:cs="宋体"/>
                <w:color w:val="auto"/>
                <w:sz w:val="24"/>
                <w:szCs w:val="24"/>
              </w:rPr>
              <w:t>联系电话：</w:t>
            </w:r>
            <w:r>
              <w:rPr>
                <w:rFonts w:hint="eastAsia" w:hAnsi="宋体" w:cs="宋体"/>
                <w:color w:val="auto"/>
                <w:sz w:val="24"/>
                <w:szCs w:val="24"/>
                <w:lang w:eastAsia="zh-CN"/>
              </w:rPr>
              <w:t>0834-</w:t>
            </w:r>
            <w:r>
              <w:rPr>
                <w:rFonts w:hint="eastAsia" w:hAnsi="宋体" w:cs="宋体"/>
                <w:color w:val="auto"/>
                <w:sz w:val="24"/>
                <w:szCs w:val="24"/>
                <w:lang w:val="en-US" w:eastAsia="zh-CN"/>
              </w:rPr>
              <w:t>3355330</w:t>
            </w:r>
          </w:p>
        </w:tc>
      </w:tr>
      <w:tr w14:paraId="27E4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3A9B33A1">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eastAsia="宋体" w:cs="宋体"/>
                <w:bCs/>
                <w:color w:val="auto"/>
                <w:kern w:val="2"/>
                <w:sz w:val="24"/>
                <w:szCs w:val="24"/>
                <w:highlight w:val="none"/>
                <w:lang w:val="en-US" w:eastAsia="zh-CN"/>
              </w:rPr>
              <w:t>1</w:t>
            </w:r>
            <w:r>
              <w:rPr>
                <w:rFonts w:hint="eastAsia" w:hAnsi="宋体" w:cs="宋体"/>
                <w:bCs/>
                <w:color w:val="auto"/>
                <w:kern w:val="2"/>
                <w:sz w:val="24"/>
                <w:szCs w:val="24"/>
                <w:highlight w:val="none"/>
                <w:lang w:val="en-US" w:eastAsia="zh-CN"/>
              </w:rPr>
              <w:t>7</w:t>
            </w:r>
          </w:p>
        </w:tc>
        <w:tc>
          <w:tcPr>
            <w:tcW w:w="2039" w:type="dxa"/>
            <w:noWrap w:val="0"/>
            <w:vAlign w:val="center"/>
          </w:tcPr>
          <w:p w14:paraId="15D0AACD">
            <w:pPr>
              <w:pStyle w:val="546"/>
              <w:keepNext w:val="0"/>
              <w:keepLines w:val="0"/>
              <w:pageBreakBefore w:val="0"/>
              <w:widowControl w:val="0"/>
              <w:tabs>
                <w:tab w:val="left" w:pos="7665"/>
              </w:tabs>
              <w:kinsoku/>
              <w:wordWrap/>
              <w:overflowPunct/>
              <w:topLinePunct w:val="0"/>
              <w:autoSpaceDE/>
              <w:autoSpaceDN/>
              <w:bidi w:val="0"/>
              <w:snapToGrid w:val="0"/>
              <w:spacing w:line="480" w:lineRule="exact"/>
              <w:jc w:val="left"/>
              <w:rPr>
                <w:rFonts w:hint="eastAsia" w:cs="宋体"/>
                <w:bCs/>
                <w:color w:val="auto"/>
                <w:kern w:val="2"/>
                <w:szCs w:val="24"/>
                <w:highlight w:val="none"/>
              </w:rPr>
            </w:pPr>
            <w:r>
              <w:rPr>
                <w:rFonts w:hint="eastAsia" w:hAnsi="宋体" w:cs="宋体"/>
                <w:color w:val="auto"/>
                <w:sz w:val="24"/>
                <w:szCs w:val="24"/>
              </w:rPr>
              <w:t>供应商询问、质疑</w:t>
            </w:r>
          </w:p>
        </w:tc>
        <w:tc>
          <w:tcPr>
            <w:tcW w:w="6026" w:type="dxa"/>
            <w:noWrap w:val="0"/>
            <w:vAlign w:val="center"/>
          </w:tcPr>
          <w:p w14:paraId="700829D0">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eastAsia" w:hAnsi="宋体" w:cs="宋体"/>
                <w:bCs/>
                <w:color w:val="auto"/>
                <w:kern w:val="2"/>
                <w:sz w:val="24"/>
                <w:szCs w:val="24"/>
                <w:highlight w:val="none"/>
                <w:lang w:val="zh-CN"/>
              </w:rPr>
            </w:pPr>
            <w:r>
              <w:rPr>
                <w:rFonts w:hint="eastAsia" w:hAnsi="宋体" w:cs="宋体"/>
                <w:bCs/>
                <w:color w:val="auto"/>
                <w:kern w:val="2"/>
                <w:sz w:val="24"/>
                <w:szCs w:val="24"/>
                <w:highlight w:val="none"/>
              </w:rPr>
              <w:t>供应商询问、质疑由</w:t>
            </w:r>
            <w:r>
              <w:rPr>
                <w:rFonts w:hint="eastAsia" w:hAnsi="宋体" w:cs="宋体"/>
                <w:bCs/>
                <w:color w:val="auto"/>
                <w:kern w:val="2"/>
                <w:sz w:val="24"/>
                <w:szCs w:val="24"/>
                <w:highlight w:val="none"/>
                <w:lang w:eastAsia="zh-CN"/>
              </w:rPr>
              <w:t>西昌市消防救援大队</w:t>
            </w:r>
            <w:r>
              <w:rPr>
                <w:rFonts w:hint="eastAsia" w:hAnsi="宋体" w:cs="宋体"/>
                <w:bCs/>
                <w:color w:val="auto"/>
                <w:kern w:val="2"/>
                <w:sz w:val="24"/>
                <w:szCs w:val="24"/>
                <w:highlight w:val="none"/>
                <w:lang w:val="en-US" w:eastAsia="zh-CN"/>
              </w:rPr>
              <w:t>及四川凉都招标代理有限公司</w:t>
            </w:r>
            <w:r>
              <w:rPr>
                <w:rFonts w:hint="eastAsia" w:hAnsi="宋体" w:cs="宋体"/>
                <w:bCs/>
                <w:color w:val="auto"/>
                <w:kern w:val="2"/>
                <w:sz w:val="24"/>
                <w:szCs w:val="24"/>
                <w:highlight w:val="none"/>
                <w:lang w:val="zh-CN"/>
              </w:rPr>
              <w:t>负责答复。</w:t>
            </w:r>
          </w:p>
          <w:p w14:paraId="370592DB">
            <w:pPr>
              <w:wordWrap w:val="0"/>
              <w:spacing w:line="360" w:lineRule="auto"/>
              <w:jc w:val="left"/>
              <w:rPr>
                <w:rFonts w:hint="eastAsia" w:hAnsi="宋体" w:cs="宋体"/>
                <w:color w:val="auto"/>
                <w:sz w:val="24"/>
                <w:szCs w:val="24"/>
              </w:rPr>
            </w:pPr>
            <w:r>
              <w:rPr>
                <w:rFonts w:hint="eastAsia" w:hAnsi="宋体" w:cs="宋体"/>
                <w:color w:val="auto"/>
                <w:sz w:val="24"/>
                <w:szCs w:val="24"/>
              </w:rPr>
              <w:t>联 系 人：</w:t>
            </w:r>
            <w:r>
              <w:rPr>
                <w:rFonts w:hint="eastAsia" w:hAnsi="宋体" w:cs="宋体"/>
                <w:color w:val="auto"/>
                <w:sz w:val="24"/>
                <w:szCs w:val="24"/>
                <w:lang w:val="en-US" w:eastAsia="zh-CN"/>
              </w:rPr>
              <w:t>粟老师</w:t>
            </w:r>
          </w:p>
          <w:p w14:paraId="46A71297">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default" w:hAnsi="宋体" w:eastAsia="宋体" w:cs="宋体"/>
                <w:bCs/>
                <w:color w:val="auto"/>
                <w:kern w:val="2"/>
                <w:sz w:val="24"/>
                <w:szCs w:val="24"/>
                <w:highlight w:val="none"/>
                <w:lang w:val="en-US" w:eastAsia="zh-CN"/>
              </w:rPr>
            </w:pPr>
            <w:r>
              <w:rPr>
                <w:rFonts w:hint="eastAsia" w:hAnsi="宋体" w:cs="宋体"/>
                <w:color w:val="auto"/>
                <w:sz w:val="24"/>
                <w:szCs w:val="24"/>
              </w:rPr>
              <w:t>联系电话：</w:t>
            </w:r>
            <w:r>
              <w:rPr>
                <w:rFonts w:hint="eastAsia" w:hAnsi="宋体" w:cs="宋体"/>
                <w:color w:val="auto"/>
                <w:sz w:val="24"/>
                <w:szCs w:val="24"/>
                <w:lang w:eastAsia="zh-CN"/>
              </w:rPr>
              <w:t>0834-</w:t>
            </w:r>
            <w:r>
              <w:rPr>
                <w:rFonts w:hint="eastAsia" w:hAnsi="宋体" w:cs="宋体"/>
                <w:color w:val="auto"/>
                <w:sz w:val="24"/>
                <w:szCs w:val="24"/>
                <w:lang w:val="en-US" w:eastAsia="zh-CN"/>
              </w:rPr>
              <w:t>3355330</w:t>
            </w:r>
          </w:p>
        </w:tc>
      </w:tr>
      <w:tr w14:paraId="5794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12B22C57">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cs="宋体"/>
                <w:bCs/>
                <w:color w:val="auto"/>
                <w:kern w:val="2"/>
                <w:sz w:val="24"/>
                <w:szCs w:val="24"/>
                <w:highlight w:val="none"/>
                <w:lang w:val="en-US" w:eastAsia="zh-CN"/>
              </w:rPr>
              <w:t>18</w:t>
            </w:r>
          </w:p>
        </w:tc>
        <w:tc>
          <w:tcPr>
            <w:tcW w:w="2039" w:type="dxa"/>
            <w:noWrap w:val="0"/>
            <w:vAlign w:val="center"/>
          </w:tcPr>
          <w:p w14:paraId="2224EAD7">
            <w:pPr>
              <w:pStyle w:val="546"/>
              <w:keepNext w:val="0"/>
              <w:keepLines w:val="0"/>
              <w:pageBreakBefore w:val="0"/>
              <w:widowControl w:val="0"/>
              <w:tabs>
                <w:tab w:val="left" w:pos="7665"/>
              </w:tabs>
              <w:kinsoku/>
              <w:wordWrap/>
              <w:overflowPunct/>
              <w:topLinePunct w:val="0"/>
              <w:autoSpaceDE/>
              <w:autoSpaceDN/>
              <w:bidi w:val="0"/>
              <w:snapToGrid w:val="0"/>
              <w:spacing w:line="480" w:lineRule="exact"/>
              <w:jc w:val="left"/>
              <w:rPr>
                <w:rFonts w:hint="eastAsia" w:cs="宋体"/>
                <w:bCs/>
                <w:color w:val="auto"/>
                <w:kern w:val="2"/>
                <w:szCs w:val="24"/>
                <w:highlight w:val="none"/>
              </w:rPr>
            </w:pPr>
            <w:r>
              <w:rPr>
                <w:rFonts w:hint="eastAsia" w:hAnsi="宋体" w:cs="宋体"/>
                <w:color w:val="auto"/>
                <w:sz w:val="24"/>
                <w:szCs w:val="24"/>
              </w:rPr>
              <w:t>供应商投诉</w:t>
            </w:r>
          </w:p>
        </w:tc>
        <w:tc>
          <w:tcPr>
            <w:tcW w:w="6026" w:type="dxa"/>
            <w:noWrap w:val="0"/>
            <w:vAlign w:val="center"/>
          </w:tcPr>
          <w:p w14:paraId="5AFD2A1A">
            <w:pPr>
              <w:wordWrap w:val="0"/>
              <w:spacing w:line="360" w:lineRule="auto"/>
              <w:jc w:val="left"/>
              <w:rPr>
                <w:rFonts w:hint="eastAsia" w:hAnsi="宋体" w:cs="宋体"/>
                <w:color w:val="auto"/>
                <w:sz w:val="24"/>
                <w:szCs w:val="24"/>
              </w:rPr>
            </w:pPr>
            <w:r>
              <w:rPr>
                <w:rFonts w:hint="eastAsia" w:hAnsi="宋体" w:cs="宋体"/>
                <w:color w:val="auto"/>
                <w:sz w:val="24"/>
                <w:szCs w:val="24"/>
              </w:rPr>
              <w:t>1、投诉受理单位：</w:t>
            </w:r>
            <w:r>
              <w:rPr>
                <w:rFonts w:hint="eastAsia" w:hAnsi="宋体" w:cs="宋体"/>
                <w:color w:val="auto"/>
                <w:sz w:val="24"/>
                <w:szCs w:val="24"/>
                <w:lang w:eastAsia="zh-CN"/>
              </w:rPr>
              <w:t>西昌市消防救援大队</w:t>
            </w:r>
            <w:r>
              <w:rPr>
                <w:rFonts w:hint="eastAsia" w:hAnsi="宋体" w:cs="宋体"/>
                <w:color w:val="auto"/>
                <w:sz w:val="24"/>
                <w:szCs w:val="24"/>
              </w:rPr>
              <w:t xml:space="preserve"> </w:t>
            </w:r>
          </w:p>
          <w:p w14:paraId="1E5B43B5">
            <w:pPr>
              <w:wordWrap w:val="0"/>
              <w:spacing w:line="360" w:lineRule="auto"/>
              <w:ind w:firstLine="240" w:firstLineChars="100"/>
              <w:jc w:val="left"/>
              <w:rPr>
                <w:rFonts w:hint="eastAsia" w:hAnsi="宋体" w:cs="宋体"/>
                <w:color w:val="auto"/>
                <w:sz w:val="24"/>
                <w:szCs w:val="24"/>
                <w:lang w:val="en-US" w:eastAsia="zh-CN"/>
              </w:rPr>
            </w:pPr>
            <w:r>
              <w:rPr>
                <w:rFonts w:hint="eastAsia" w:hAnsi="宋体" w:cs="宋体"/>
                <w:color w:val="auto"/>
                <w:sz w:val="24"/>
                <w:szCs w:val="24"/>
              </w:rPr>
              <w:t>地址：</w:t>
            </w:r>
            <w:r>
              <w:rPr>
                <w:rFonts w:hint="eastAsia" w:hAnsi="宋体" w:cs="宋体"/>
                <w:color w:val="auto"/>
                <w:sz w:val="24"/>
                <w:szCs w:val="24"/>
                <w:lang w:eastAsia="zh-CN"/>
              </w:rPr>
              <w:t>凉山彝族自治州西昌市长安中路318号</w:t>
            </w:r>
            <w:r>
              <w:rPr>
                <w:rFonts w:hint="eastAsia" w:hAnsi="宋体" w:cs="宋体"/>
                <w:color w:val="auto"/>
                <w:sz w:val="24"/>
                <w:szCs w:val="24"/>
                <w:lang w:val="en-US" w:eastAsia="zh-CN"/>
              </w:rPr>
              <w:t xml:space="preserve">  </w:t>
            </w:r>
          </w:p>
          <w:p w14:paraId="797AD7DE">
            <w:pPr>
              <w:wordWrap w:val="0"/>
              <w:spacing w:line="360" w:lineRule="auto"/>
              <w:ind w:firstLine="240" w:firstLineChars="100"/>
              <w:jc w:val="left"/>
              <w:rPr>
                <w:rFonts w:hint="default" w:hAnsi="宋体" w:eastAsia="宋体" w:cs="宋体"/>
                <w:color w:val="auto"/>
                <w:sz w:val="24"/>
                <w:szCs w:val="24"/>
                <w:lang w:val="en-US" w:eastAsia="zh-CN"/>
              </w:rPr>
            </w:pPr>
            <w:r>
              <w:rPr>
                <w:rFonts w:hint="eastAsia" w:hAnsi="宋体" w:cs="宋体"/>
                <w:color w:val="auto"/>
                <w:sz w:val="24"/>
                <w:szCs w:val="24"/>
                <w:lang w:val="en-US" w:eastAsia="zh-CN"/>
              </w:rPr>
              <w:t>电话：0834-2328001</w:t>
            </w:r>
          </w:p>
          <w:p w14:paraId="7D3B631A">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eastAsia" w:hAnsi="宋体" w:cs="宋体"/>
                <w:color w:val="auto"/>
                <w:sz w:val="24"/>
                <w:szCs w:val="24"/>
              </w:rPr>
            </w:pPr>
            <w:r>
              <w:rPr>
                <w:rFonts w:hint="eastAsia" w:hAnsi="宋体" w:cs="宋体"/>
                <w:color w:val="auto"/>
                <w:sz w:val="24"/>
                <w:szCs w:val="24"/>
                <w:lang w:val="zh-TW" w:eastAsia="zh-TW"/>
              </w:rPr>
              <w:t>2、中华人民共和国财政部，地址：西城区月坛北小街13号中船宾馆北楼四层8401室、8403室。</w:t>
            </w:r>
          </w:p>
          <w:p w14:paraId="630134B9">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default" w:hAnsi="宋体" w:eastAsia="宋体" w:cs="宋体"/>
                <w:bCs/>
                <w:color w:val="auto"/>
                <w:kern w:val="2"/>
                <w:sz w:val="24"/>
                <w:szCs w:val="24"/>
                <w:highlight w:val="none"/>
                <w:lang w:val="en-US" w:eastAsia="zh-CN"/>
              </w:rPr>
            </w:pPr>
            <w:r>
              <w:rPr>
                <w:rFonts w:hint="eastAsia" w:hAnsi="宋体" w:cs="宋体"/>
                <w:color w:val="auto"/>
                <w:sz w:val="24"/>
                <w:szCs w:val="24"/>
              </w:rPr>
              <w:t>注：根据《中华人民共和国政府采购法实施条例》及中华人民共和国财政部令第94号《政府采购质疑和投诉办法》规定执行的规定，供应商投诉事项不得超出已质疑事项的范围。</w:t>
            </w:r>
          </w:p>
        </w:tc>
      </w:tr>
      <w:tr w14:paraId="4E14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3BA48445">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bookmarkStart w:id="41" w:name="OLE_LINK66" w:colFirst="1" w:colLast="2"/>
            <w:r>
              <w:rPr>
                <w:rFonts w:hint="eastAsia" w:hAnsi="宋体" w:cs="宋体"/>
                <w:bCs/>
                <w:color w:val="auto"/>
                <w:kern w:val="2"/>
                <w:sz w:val="24"/>
                <w:szCs w:val="24"/>
                <w:highlight w:val="none"/>
                <w:lang w:val="en-US" w:eastAsia="zh-CN"/>
              </w:rPr>
              <w:t>19</w:t>
            </w:r>
          </w:p>
        </w:tc>
        <w:tc>
          <w:tcPr>
            <w:tcW w:w="2039" w:type="dxa"/>
            <w:noWrap w:val="0"/>
            <w:vAlign w:val="center"/>
          </w:tcPr>
          <w:p w14:paraId="24FBFF99">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备选投标方案和报价（实质性要求）</w:t>
            </w:r>
          </w:p>
        </w:tc>
        <w:tc>
          <w:tcPr>
            <w:tcW w:w="6026" w:type="dxa"/>
            <w:noWrap w:val="0"/>
            <w:vAlign w:val="center"/>
          </w:tcPr>
          <w:p w14:paraId="3451854A">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left"/>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本次采购不接受备选投标方案和多个报价。</w:t>
            </w:r>
          </w:p>
        </w:tc>
      </w:tr>
      <w:bookmarkEnd w:id="41"/>
      <w:tr w14:paraId="5012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1BFC13DE">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eastAsia="宋体" w:cs="宋体"/>
                <w:bCs/>
                <w:color w:val="auto"/>
                <w:kern w:val="2"/>
                <w:sz w:val="24"/>
                <w:szCs w:val="24"/>
                <w:highlight w:val="none"/>
                <w:lang w:val="en-US" w:eastAsia="zh-CN"/>
              </w:rPr>
            </w:pPr>
            <w:r>
              <w:rPr>
                <w:rFonts w:hint="eastAsia" w:hAnsi="宋体" w:cs="宋体"/>
                <w:bCs/>
                <w:color w:val="auto"/>
                <w:kern w:val="2"/>
                <w:sz w:val="24"/>
                <w:szCs w:val="24"/>
                <w:highlight w:val="none"/>
                <w:lang w:val="en-US" w:eastAsia="zh-CN"/>
              </w:rPr>
              <w:t>20</w:t>
            </w:r>
          </w:p>
        </w:tc>
        <w:tc>
          <w:tcPr>
            <w:tcW w:w="2039" w:type="dxa"/>
            <w:noWrap w:val="0"/>
            <w:vAlign w:val="center"/>
          </w:tcPr>
          <w:p w14:paraId="5686E8E6">
            <w:pPr>
              <w:pStyle w:val="15"/>
              <w:keepNext w:val="0"/>
              <w:keepLines w:val="0"/>
              <w:pageBreakBefore w:val="0"/>
              <w:widowControl w:val="0"/>
              <w:kinsoku/>
              <w:wordWrap/>
              <w:overflowPunct/>
              <w:topLinePunct w:val="0"/>
              <w:autoSpaceDE/>
              <w:autoSpaceDN/>
              <w:bidi w:val="0"/>
              <w:spacing w:line="480" w:lineRule="exact"/>
              <w:jc w:val="left"/>
              <w:rPr>
                <w:rFonts w:hint="eastAsia" w:hAnsi="宋体" w:cs="宋体"/>
                <w:bCs/>
                <w:color w:val="auto"/>
                <w:sz w:val="24"/>
                <w:szCs w:val="24"/>
                <w:highlight w:val="none"/>
                <w:lang w:val="zh-CN"/>
              </w:rPr>
            </w:pPr>
            <w:r>
              <w:rPr>
                <w:rFonts w:hint="eastAsia" w:hAnsi="宋体" w:cs="宋体"/>
                <w:color w:val="auto"/>
                <w:sz w:val="24"/>
                <w:szCs w:val="24"/>
                <w:highlight w:val="none"/>
                <w:lang w:val="zh-CN" w:eastAsia="zh-CN"/>
              </w:rPr>
              <w:t>节能、环保产品政府采购政策</w:t>
            </w:r>
          </w:p>
        </w:tc>
        <w:tc>
          <w:tcPr>
            <w:tcW w:w="6026" w:type="dxa"/>
            <w:noWrap w:val="0"/>
            <w:vAlign w:val="center"/>
          </w:tcPr>
          <w:p w14:paraId="33932085">
            <w:pPr>
              <w:pStyle w:val="15"/>
              <w:keepNext w:val="0"/>
              <w:keepLines w:val="0"/>
              <w:pageBreakBefore w:val="0"/>
              <w:widowControl w:val="0"/>
              <w:kinsoku/>
              <w:wordWrap/>
              <w:overflowPunct/>
              <w:topLinePunct w:val="0"/>
              <w:autoSpaceDE/>
              <w:autoSpaceDN/>
              <w:bidi w:val="0"/>
              <w:spacing w:line="480" w:lineRule="exact"/>
              <w:jc w:val="both"/>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一、根据《财政部、发展改革委、生态环境部、市场监管总局关于调整优化节能产品、环境标志产品政府采购执行机制的通知》财库[2019]9号、《关于印发环境标志产品政府采购品目清单的通知》（财库〔2019〕18号）、《关于印发节能产品政府采购品目清单的通知》（财库〔2019〕19号）的文件规定，对依据国家确定的认证机构出具的、处于有效期之内的节能产品、环境标志产品认证证书，对获得证书的产品实施政府优先采购或强制采购。</w:t>
            </w:r>
          </w:p>
          <w:p w14:paraId="46D1C2B2">
            <w:pPr>
              <w:pStyle w:val="15"/>
              <w:keepNext w:val="0"/>
              <w:keepLines w:val="0"/>
              <w:pageBreakBefore w:val="0"/>
              <w:widowControl w:val="0"/>
              <w:kinsoku/>
              <w:wordWrap/>
              <w:overflowPunct/>
              <w:topLinePunct w:val="0"/>
              <w:autoSpaceDE/>
              <w:autoSpaceDN/>
              <w:bidi w:val="0"/>
              <w:spacing w:line="480" w:lineRule="exact"/>
              <w:jc w:val="both"/>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注：</w:t>
            </w:r>
          </w:p>
          <w:p w14:paraId="6479DE73">
            <w:pPr>
              <w:pStyle w:val="15"/>
              <w:keepNext w:val="0"/>
              <w:keepLines w:val="0"/>
              <w:pageBreakBefore w:val="0"/>
              <w:widowControl w:val="0"/>
              <w:kinsoku/>
              <w:wordWrap/>
              <w:overflowPunct/>
              <w:topLinePunct w:val="0"/>
              <w:autoSpaceDE/>
              <w:autoSpaceDN/>
              <w:bidi w:val="0"/>
              <w:spacing w:line="480" w:lineRule="exact"/>
              <w:jc w:val="both"/>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（一）节能产品认证应依据国家相关标准的最新版本，依据国家能效标准指标。</w:t>
            </w:r>
          </w:p>
          <w:p w14:paraId="33EEBC90">
            <w:pPr>
              <w:pStyle w:val="15"/>
              <w:keepNext w:val="0"/>
              <w:keepLines w:val="0"/>
              <w:pageBreakBefore w:val="0"/>
              <w:widowControl w:val="0"/>
              <w:kinsoku/>
              <w:wordWrap/>
              <w:overflowPunct/>
              <w:topLinePunct w:val="0"/>
              <w:autoSpaceDE/>
              <w:autoSpaceDN/>
              <w:bidi w:val="0"/>
              <w:spacing w:line="480" w:lineRule="exact"/>
              <w:jc w:val="both"/>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二）节能产品政府采购品目清单内以“★”标注的为政府采购强制采购产品，属于强制采购产品品目内的产品，必须提供认证证书。（1.本项目采购标的本身不涉及节能产品、环境标志产品，但其配件涉及节能产品、环境标志产品，</w:t>
            </w:r>
            <w:r>
              <w:rPr>
                <w:rFonts w:hint="eastAsia" w:hAnsi="宋体" w:cs="宋体"/>
                <w:b/>
                <w:bCs/>
                <w:color w:val="auto"/>
                <w:sz w:val="24"/>
                <w:szCs w:val="24"/>
                <w:highlight w:val="none"/>
                <w:lang w:val="en-US" w:eastAsia="zh-CN"/>
              </w:rPr>
              <w:t>供应商在投标文件中须承诺所投产品部分配件若涉及强制节能产品的，须具有强制节能认证证书，在定制产品交付后验收时，同步向采购人验收小组提供其配件对应强制节能认证证书</w:t>
            </w:r>
            <w:r>
              <w:rPr>
                <w:rFonts w:hint="eastAsia" w:hAnsi="宋体" w:cs="宋体"/>
                <w:color w:val="auto"/>
                <w:sz w:val="24"/>
                <w:szCs w:val="24"/>
                <w:highlight w:val="none"/>
                <w:lang w:val="en-US" w:eastAsia="zh-CN"/>
              </w:rPr>
              <w:t>。2.在评审过程中，评审专家不再对部分属于强制节能的配件进行证书审核。）</w:t>
            </w:r>
          </w:p>
          <w:p w14:paraId="07619B47">
            <w:pPr>
              <w:pStyle w:val="15"/>
              <w:keepNext w:val="0"/>
              <w:keepLines w:val="0"/>
              <w:pageBreakBefore w:val="0"/>
              <w:widowControl w:val="0"/>
              <w:kinsoku/>
              <w:wordWrap/>
              <w:overflowPunct/>
              <w:topLinePunct w:val="0"/>
              <w:autoSpaceDE/>
              <w:autoSpaceDN/>
              <w:bidi w:val="0"/>
              <w:spacing w:line="480" w:lineRule="exact"/>
              <w:jc w:val="both"/>
              <w:rPr>
                <w:rFonts w:hint="eastAsia" w:hAnsi="宋体" w:cs="宋体"/>
                <w:bCs/>
                <w:color w:val="auto"/>
                <w:sz w:val="24"/>
                <w:szCs w:val="24"/>
                <w:highlight w:val="none"/>
                <w:lang w:val="zh-CN"/>
              </w:rPr>
            </w:pPr>
            <w:r>
              <w:rPr>
                <w:rFonts w:hint="eastAsia" w:hAnsi="宋体" w:cs="宋体"/>
                <w:color w:val="auto"/>
                <w:sz w:val="24"/>
                <w:szCs w:val="24"/>
                <w:highlight w:val="none"/>
                <w:lang w:val="en-US" w:eastAsia="zh-CN"/>
              </w:rPr>
              <w:t>（四）环境标志产品认证应依据相关标准的最新版本。</w:t>
            </w:r>
          </w:p>
        </w:tc>
      </w:tr>
      <w:tr w14:paraId="1B07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042F7393">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hAnsi="宋体" w:cs="宋体"/>
                <w:bCs/>
                <w:color w:val="auto"/>
                <w:kern w:val="2"/>
                <w:sz w:val="24"/>
                <w:szCs w:val="24"/>
                <w:highlight w:val="none"/>
                <w:lang w:val="en-US" w:eastAsia="zh-CN"/>
              </w:rPr>
            </w:pPr>
            <w:bookmarkStart w:id="42" w:name="OLE_LINK67" w:colFirst="1" w:colLast="2"/>
            <w:r>
              <w:rPr>
                <w:rFonts w:hint="eastAsia" w:ascii="宋体" w:hAnsi="宋体" w:cs="宋体"/>
                <w:bCs/>
                <w:color w:val="auto"/>
                <w:kern w:val="2"/>
                <w:sz w:val="24"/>
                <w:szCs w:val="24"/>
                <w:highlight w:val="none"/>
                <w:lang w:val="en-US" w:eastAsia="zh-CN"/>
              </w:rPr>
              <w:t>21</w:t>
            </w:r>
          </w:p>
        </w:tc>
        <w:tc>
          <w:tcPr>
            <w:tcW w:w="2039" w:type="dxa"/>
            <w:noWrap w:val="0"/>
            <w:vAlign w:val="center"/>
          </w:tcPr>
          <w:p w14:paraId="164DF1EC">
            <w:pPr>
              <w:pStyle w:val="15"/>
              <w:keepNext w:val="0"/>
              <w:keepLines w:val="0"/>
              <w:pageBreakBefore w:val="0"/>
              <w:widowControl w:val="0"/>
              <w:kinsoku/>
              <w:wordWrap/>
              <w:overflowPunct/>
              <w:topLinePunct w:val="0"/>
              <w:autoSpaceDE/>
              <w:autoSpaceDN/>
              <w:bidi w:val="0"/>
              <w:spacing w:line="480" w:lineRule="exact"/>
              <w:jc w:val="left"/>
              <w:rPr>
                <w:rFonts w:hint="eastAsia" w:hAnsi="宋体" w:cs="宋体"/>
                <w:color w:val="auto"/>
                <w:sz w:val="24"/>
                <w:szCs w:val="24"/>
                <w:highlight w:val="none"/>
                <w:lang w:val="zh-CN" w:eastAsia="zh-CN"/>
              </w:rPr>
            </w:pPr>
            <w:r>
              <w:rPr>
                <w:rFonts w:hint="eastAsia" w:hAnsi="宋体" w:cs="宋体"/>
                <w:color w:val="auto"/>
                <w:sz w:val="24"/>
                <w:szCs w:val="24"/>
                <w:highlight w:val="none"/>
                <w:lang w:val="zh-CN" w:eastAsia="zh-CN"/>
              </w:rPr>
              <w:t>履约保证金</w:t>
            </w:r>
          </w:p>
        </w:tc>
        <w:tc>
          <w:tcPr>
            <w:tcW w:w="6026" w:type="dxa"/>
            <w:noWrap w:val="0"/>
            <w:vAlign w:val="center"/>
          </w:tcPr>
          <w:p w14:paraId="2BC49750">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 xml:space="preserve">金额：采购合同总金额的 </w:t>
            </w: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sz w:val="24"/>
                <w:szCs w:val="24"/>
                <w:highlight w:val="none"/>
                <w:lang w:eastAsia="zh-CN"/>
              </w:rPr>
              <w:t xml:space="preserve"> %。</w:t>
            </w:r>
          </w:p>
          <w:p w14:paraId="1929A443">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交款方式：履约保证金可以以支票、汇票、本票或者金融机构出具的保函等非现金形式提交（包括网银转账，电汇等方式）。</w:t>
            </w:r>
          </w:p>
          <w:p w14:paraId="45C624B2">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收款单位：以采购人要求为准。</w:t>
            </w:r>
          </w:p>
          <w:p w14:paraId="7973C7B2">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开 户 行：以采购人要求为准。</w:t>
            </w:r>
          </w:p>
          <w:p w14:paraId="6363F066">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银行账号：以采购人要求为准。</w:t>
            </w:r>
          </w:p>
          <w:p w14:paraId="164831A4">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交款时间：中标通知书发放后，政府采购合同签订前。</w:t>
            </w:r>
          </w:p>
          <w:p w14:paraId="49B9B343">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注：提供保函的担保机构必须是依法成立的具有相关资质和偿付能力的担保机构。保函是银行等金融机构出具的，保函必须要在中国人民银行征信系统能够进行查询，否则将取消成交资格，采购人将重新确定</w:t>
            </w:r>
            <w:r>
              <w:rPr>
                <w:rFonts w:hint="eastAsia" w:ascii="宋体" w:hAnsi="宋体" w:cs="宋体"/>
                <w:snapToGrid w:val="0"/>
                <w:color w:val="auto"/>
                <w:sz w:val="24"/>
                <w:szCs w:val="24"/>
                <w:highlight w:val="none"/>
                <w:lang w:eastAsia="zh-CN"/>
              </w:rPr>
              <w:t>中标人</w:t>
            </w:r>
            <w:r>
              <w:rPr>
                <w:rFonts w:hint="eastAsia" w:ascii="宋体" w:hAnsi="宋体" w:eastAsia="宋体" w:cs="宋体"/>
                <w:snapToGrid w:val="0"/>
                <w:color w:val="auto"/>
                <w:sz w:val="24"/>
                <w:szCs w:val="24"/>
                <w:highlight w:val="none"/>
                <w:lang w:eastAsia="zh-CN"/>
              </w:rPr>
              <w:t>，并依法追究法律责任。</w:t>
            </w:r>
          </w:p>
          <w:p w14:paraId="7DAE8951">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履约保证金退还方式：</w:t>
            </w:r>
            <w:r>
              <w:rPr>
                <w:rFonts w:hint="eastAsia" w:ascii="宋体" w:hAnsi="宋体" w:eastAsia="宋体" w:cs="宋体"/>
                <w:snapToGrid w:val="0"/>
                <w:color w:val="auto"/>
                <w:sz w:val="24"/>
                <w:szCs w:val="24"/>
                <w:highlight w:val="none"/>
                <w:lang w:val="en-US" w:eastAsia="zh-CN"/>
              </w:rPr>
              <w:t>验收结果合格的，</w:t>
            </w:r>
            <w:r>
              <w:rPr>
                <w:rFonts w:hint="eastAsia" w:ascii="宋体" w:hAnsi="宋体" w:cs="宋体"/>
                <w:snapToGrid w:val="0"/>
                <w:color w:val="auto"/>
                <w:sz w:val="24"/>
                <w:szCs w:val="24"/>
                <w:highlight w:val="none"/>
                <w:lang w:val="en-US" w:eastAsia="zh-CN"/>
              </w:rPr>
              <w:t>中标人</w:t>
            </w:r>
            <w:r>
              <w:rPr>
                <w:rFonts w:hint="eastAsia" w:ascii="宋体" w:hAnsi="宋体" w:eastAsia="宋体" w:cs="宋体"/>
                <w:snapToGrid w:val="0"/>
                <w:color w:val="auto"/>
                <w:sz w:val="24"/>
                <w:szCs w:val="24"/>
                <w:highlight w:val="none"/>
                <w:lang w:val="en-US" w:eastAsia="zh-CN"/>
              </w:rPr>
              <w:t>凭“验收结果”办理履约保证金的退付手续。</w:t>
            </w:r>
          </w:p>
          <w:p w14:paraId="25456392">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履约保证金退还时间：</w:t>
            </w:r>
            <w:r>
              <w:rPr>
                <w:rFonts w:hint="eastAsia" w:ascii="宋体" w:hAnsi="宋体" w:cs="宋体"/>
                <w:snapToGrid w:val="0"/>
                <w:color w:val="auto"/>
                <w:sz w:val="24"/>
                <w:szCs w:val="24"/>
                <w:highlight w:val="none"/>
                <w:lang w:eastAsia="zh-CN"/>
              </w:rPr>
              <w:t>投标人</w:t>
            </w:r>
            <w:r>
              <w:rPr>
                <w:rFonts w:hint="eastAsia" w:ascii="宋体" w:hAnsi="宋体" w:eastAsia="宋体" w:cs="宋体"/>
                <w:snapToGrid w:val="0"/>
                <w:color w:val="auto"/>
                <w:sz w:val="24"/>
                <w:szCs w:val="24"/>
                <w:highlight w:val="none"/>
                <w:lang w:eastAsia="zh-CN"/>
              </w:rPr>
              <w:t>提交履约保证金退还申请，采购人在收到履约保证金退还申请的7个工作日内退还。</w:t>
            </w:r>
          </w:p>
          <w:p w14:paraId="24D5D539">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履约保证金不予退还情形：验收结果不合格的，履约保证金将不予退还，并退还采购人已支付的采购资金，还可能会按照政府采购法律法规等有关规定给予行政处罚或者以失信行为记入诚信档案。</w:t>
            </w:r>
          </w:p>
          <w:p w14:paraId="42CEA784">
            <w:pPr>
              <w:pStyle w:val="15"/>
              <w:keepNext w:val="0"/>
              <w:keepLines w:val="0"/>
              <w:pageBreakBefore w:val="0"/>
              <w:widowControl w:val="0"/>
              <w:kinsoku/>
              <w:wordWrap/>
              <w:overflowPunct/>
              <w:topLinePunct w:val="0"/>
              <w:autoSpaceDE/>
              <w:autoSpaceDN/>
              <w:bidi w:val="0"/>
              <w:spacing w:line="480" w:lineRule="exact"/>
              <w:jc w:val="both"/>
              <w:rPr>
                <w:rFonts w:hint="eastAsia" w:hAnsi="宋体" w:cs="宋体"/>
                <w:color w:val="auto"/>
                <w:sz w:val="24"/>
                <w:szCs w:val="24"/>
                <w:highlight w:val="none"/>
                <w:lang w:val="en-US" w:eastAsia="zh-CN"/>
              </w:rPr>
            </w:pPr>
            <w:r>
              <w:rPr>
                <w:rFonts w:hint="eastAsia" w:ascii="宋体" w:hAnsi="宋体" w:eastAsia="宋体" w:cs="宋体"/>
                <w:snapToGrid w:val="0"/>
                <w:color w:val="auto"/>
                <w:sz w:val="24"/>
                <w:szCs w:val="24"/>
                <w:highlight w:val="none"/>
                <w:lang w:eastAsia="zh-CN"/>
              </w:rPr>
              <w:t>履约保证金不予退还的，将按照有关规定上缴国库。逾期退还履约保证金的，将依法承担法律责任，并赔偿</w:t>
            </w:r>
            <w:r>
              <w:rPr>
                <w:rFonts w:hint="eastAsia" w:ascii="宋体" w:hAnsi="宋体" w:cs="宋体"/>
                <w:snapToGrid w:val="0"/>
                <w:color w:val="auto"/>
                <w:sz w:val="24"/>
                <w:szCs w:val="24"/>
                <w:highlight w:val="none"/>
                <w:lang w:eastAsia="zh-CN"/>
              </w:rPr>
              <w:t>投标人</w:t>
            </w:r>
            <w:r>
              <w:rPr>
                <w:rFonts w:hint="eastAsia" w:ascii="宋体" w:hAnsi="宋体" w:eastAsia="宋体" w:cs="宋体"/>
                <w:snapToGrid w:val="0"/>
                <w:color w:val="auto"/>
                <w:sz w:val="24"/>
                <w:szCs w:val="24"/>
                <w:highlight w:val="none"/>
                <w:lang w:eastAsia="zh-CN"/>
              </w:rPr>
              <w:t>损失。</w:t>
            </w:r>
          </w:p>
        </w:tc>
      </w:tr>
      <w:tr w14:paraId="14B8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02105F05">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ascii="宋体" w:hAnsi="宋体" w:eastAsia="宋体" w:cs="宋体"/>
                <w:bCs/>
                <w:color w:val="auto"/>
                <w:kern w:val="2"/>
                <w:sz w:val="24"/>
                <w:szCs w:val="24"/>
                <w:highlight w:val="none"/>
                <w:lang w:val="en-US" w:eastAsia="zh-CN"/>
              </w:rPr>
            </w:pPr>
            <w:r>
              <w:rPr>
                <w:rFonts w:hint="eastAsia" w:ascii="宋体" w:hAnsi="宋体" w:cs="宋体"/>
                <w:bCs/>
                <w:color w:val="auto"/>
                <w:kern w:val="2"/>
                <w:sz w:val="24"/>
                <w:szCs w:val="24"/>
                <w:highlight w:val="none"/>
                <w:lang w:val="en-US" w:eastAsia="zh-CN"/>
              </w:rPr>
              <w:t>22</w:t>
            </w:r>
          </w:p>
        </w:tc>
        <w:tc>
          <w:tcPr>
            <w:tcW w:w="2039" w:type="dxa"/>
            <w:noWrap w:val="0"/>
            <w:vAlign w:val="center"/>
          </w:tcPr>
          <w:p w14:paraId="6B5DD24B">
            <w:pPr>
              <w:pStyle w:val="101"/>
              <w:spacing w:line="360" w:lineRule="auto"/>
              <w:jc w:val="center"/>
              <w:rPr>
                <w:rFonts w:hint="eastAsia" w:ascii="宋体" w:hAnsi="宋体" w:eastAsia="宋体" w:cs="宋体"/>
                <w:bCs/>
                <w:color w:val="auto"/>
                <w:kern w:val="2"/>
                <w:sz w:val="24"/>
                <w:szCs w:val="24"/>
                <w:highlight w:val="none"/>
                <w:lang w:val="zh-CN" w:eastAsia="zh-CN"/>
              </w:rPr>
            </w:pPr>
            <w:r>
              <w:rPr>
                <w:rFonts w:hint="eastAsia" w:ascii="宋体" w:hAnsi="宋体" w:eastAsia="宋体" w:cs="宋体"/>
                <w:color w:val="auto"/>
                <w:highlight w:val="none"/>
                <w:lang w:val="zh-CN"/>
              </w:rPr>
              <w:t>采购代理服务费</w:t>
            </w:r>
          </w:p>
        </w:tc>
        <w:tc>
          <w:tcPr>
            <w:tcW w:w="6026" w:type="dxa"/>
            <w:noWrap w:val="0"/>
            <w:vAlign w:val="center"/>
          </w:tcPr>
          <w:p w14:paraId="158E0ACE">
            <w:pPr>
              <w:pageBreakBefore w:val="0"/>
              <w:kinsoku/>
              <w:overflowPunct/>
              <w:topLinePunct w:val="0"/>
              <w:bidi w:val="0"/>
              <w:spacing w:line="480" w:lineRule="auto"/>
              <w:ind w:left="0" w:leftChars="0" w:right="0" w:rightChars="0" w:firstLine="0" w:firstLineChars="0"/>
              <w:jc w:val="left"/>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1、招标代理服务费由</w:t>
            </w:r>
            <w:r>
              <w:rPr>
                <w:rFonts w:hint="eastAsia" w:ascii="宋体" w:hAnsi="宋体" w:cs="宋体"/>
                <w:color w:val="auto"/>
                <w:kern w:val="0"/>
                <w:sz w:val="24"/>
                <w:szCs w:val="24"/>
                <w:highlight w:val="none"/>
                <w:lang w:val="zh-CN" w:eastAsia="zh-CN" w:bidi="ar-SA"/>
              </w:rPr>
              <w:t>中标人</w:t>
            </w:r>
            <w:r>
              <w:rPr>
                <w:rFonts w:hint="eastAsia" w:ascii="宋体" w:hAnsi="宋体" w:eastAsia="宋体" w:cs="宋体"/>
                <w:color w:val="auto"/>
                <w:kern w:val="0"/>
                <w:sz w:val="24"/>
                <w:szCs w:val="24"/>
                <w:highlight w:val="none"/>
                <w:lang w:val="zh-CN" w:eastAsia="zh-CN" w:bidi="ar-SA"/>
              </w:rPr>
              <w:t>支付。</w:t>
            </w:r>
          </w:p>
          <w:p w14:paraId="59051BC0">
            <w:pPr>
              <w:pageBreakBefore w:val="0"/>
              <w:kinsoku/>
              <w:overflowPunct/>
              <w:topLinePunct w:val="0"/>
              <w:bidi w:val="0"/>
              <w:spacing w:line="480" w:lineRule="auto"/>
              <w:ind w:left="0" w:leftChars="0" w:right="0" w:rightChars="0" w:firstLine="0" w:firstLineChars="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zh-CN" w:eastAsia="zh-CN" w:bidi="ar-SA"/>
              </w:rPr>
              <w:t>2、中标人在领取中标通知书时与代理机构结算招标代理服务费，参照国家财政部、国家计委、国家发改委（2003）857号，国家发改委299号文(发改价格〔2015〕299号)等文件规定的</w:t>
            </w:r>
            <w:r>
              <w:rPr>
                <w:rFonts w:hint="eastAsia" w:ascii="宋体" w:hAnsi="宋体" w:cs="宋体"/>
                <w:color w:val="auto"/>
                <w:kern w:val="0"/>
                <w:sz w:val="24"/>
                <w:szCs w:val="24"/>
                <w:highlight w:val="none"/>
                <w:lang w:val="en-US" w:eastAsia="zh-CN" w:bidi="ar-SA"/>
              </w:rPr>
              <w:t>收取</w:t>
            </w:r>
            <w:r>
              <w:rPr>
                <w:rFonts w:hint="eastAsia" w:ascii="宋体" w:hAnsi="宋体" w:cs="宋体"/>
                <w:color w:val="auto"/>
                <w:sz w:val="24"/>
                <w:szCs w:val="24"/>
                <w:highlight w:val="none"/>
                <w:lang w:val="en-US" w:eastAsia="zh-CN"/>
              </w:rPr>
              <w:t>7000</w:t>
            </w:r>
            <w:r>
              <w:rPr>
                <w:rFonts w:hint="eastAsia" w:ascii="宋体" w:hAnsi="宋体" w:cs="宋体"/>
                <w:color w:val="auto"/>
                <w:kern w:val="0"/>
                <w:sz w:val="24"/>
                <w:szCs w:val="24"/>
                <w:highlight w:val="none"/>
                <w:lang w:val="en-US" w:eastAsia="zh-CN" w:bidi="ar-SA"/>
              </w:rPr>
              <w:t>元</w:t>
            </w:r>
            <w:r>
              <w:rPr>
                <w:rFonts w:hint="eastAsia" w:ascii="宋体" w:hAnsi="宋体" w:eastAsia="宋体" w:cs="宋体"/>
                <w:color w:val="auto"/>
                <w:kern w:val="0"/>
                <w:sz w:val="24"/>
                <w:szCs w:val="24"/>
                <w:highlight w:val="none"/>
                <w:lang w:val="en-US" w:eastAsia="zh-CN" w:bidi="ar-SA"/>
              </w:rPr>
              <w:t>。</w:t>
            </w:r>
          </w:p>
          <w:p w14:paraId="22B93A79">
            <w:pPr>
              <w:pStyle w:val="101"/>
              <w:spacing w:line="360" w:lineRule="auto"/>
              <w:jc w:val="left"/>
              <w:rPr>
                <w:rFonts w:hint="eastAsia" w:ascii="宋体" w:hAnsi="宋体" w:eastAsia="宋体" w:cs="宋体"/>
                <w:bCs/>
                <w:color w:val="auto"/>
                <w:kern w:val="2"/>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t>3、交</w:t>
            </w:r>
            <w:r>
              <w:rPr>
                <w:rFonts w:hint="eastAsia" w:ascii="宋体" w:hAnsi="宋体" w:eastAsia="宋体" w:cs="宋体"/>
                <w:color w:val="auto"/>
                <w:kern w:val="0"/>
                <w:sz w:val="24"/>
                <w:szCs w:val="24"/>
                <w:highlight w:val="none"/>
                <w:lang w:val="zh-CN" w:eastAsia="zh-CN" w:bidi="ar-SA"/>
              </w:rPr>
              <w:t>款方式：</w:t>
            </w:r>
            <w:r>
              <w:rPr>
                <w:rFonts w:hint="eastAsia" w:ascii="宋体" w:hAnsi="宋体" w:eastAsia="宋体" w:cs="宋体"/>
                <w:color w:val="auto"/>
                <w:kern w:val="0"/>
                <w:sz w:val="24"/>
                <w:szCs w:val="24"/>
                <w:highlight w:val="none"/>
                <w:lang w:val="en-US" w:eastAsia="zh-CN" w:bidi="ar-SA"/>
              </w:rPr>
              <w:t>代理服务费可以以转账、现金等方式缴纳。</w:t>
            </w:r>
          </w:p>
        </w:tc>
      </w:tr>
      <w:tr w14:paraId="2277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37F8AC13">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ascii="宋体" w:hAnsi="宋体" w:cs="宋体"/>
                <w:bCs/>
                <w:color w:val="auto"/>
                <w:kern w:val="2"/>
                <w:sz w:val="24"/>
                <w:szCs w:val="24"/>
                <w:highlight w:val="none"/>
                <w:lang w:val="en-US" w:eastAsia="zh-CN"/>
              </w:rPr>
            </w:pPr>
            <w:r>
              <w:rPr>
                <w:rFonts w:hint="eastAsia" w:ascii="宋体" w:hAnsi="宋体" w:cs="宋体"/>
                <w:bCs/>
                <w:color w:val="auto"/>
                <w:kern w:val="2"/>
                <w:sz w:val="24"/>
                <w:szCs w:val="24"/>
                <w:highlight w:val="none"/>
                <w:lang w:val="en-US" w:eastAsia="zh-CN"/>
              </w:rPr>
              <w:t>23</w:t>
            </w:r>
          </w:p>
        </w:tc>
        <w:tc>
          <w:tcPr>
            <w:tcW w:w="2039" w:type="dxa"/>
            <w:noWrap w:val="0"/>
            <w:vAlign w:val="center"/>
          </w:tcPr>
          <w:p w14:paraId="3B0551D8">
            <w:pPr>
              <w:pStyle w:val="101"/>
              <w:spacing w:line="360" w:lineRule="auto"/>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实施本国产品标准</w:t>
            </w:r>
          </w:p>
        </w:tc>
        <w:tc>
          <w:tcPr>
            <w:tcW w:w="6026" w:type="dxa"/>
            <w:noWrap w:val="0"/>
            <w:vAlign w:val="center"/>
          </w:tcPr>
          <w:p w14:paraId="403547E6">
            <w:pPr>
              <w:pStyle w:val="101"/>
              <w:spacing w:line="360" w:lineRule="auto"/>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7793C09">
            <w:pPr>
              <w:pStyle w:val="101"/>
              <w:spacing w:line="360" w:lineRule="auto"/>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全部产品是指货物或服务采购项目或采购包中包含的全部货物、服务产品。</w:t>
            </w:r>
          </w:p>
        </w:tc>
      </w:tr>
      <w:tr w14:paraId="6F2A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14:paraId="59D51FE3">
            <w:pPr>
              <w:keepNext w:val="0"/>
              <w:keepLines w:val="0"/>
              <w:pageBreakBefore w:val="0"/>
              <w:widowControl w:val="0"/>
              <w:tabs>
                <w:tab w:val="left" w:pos="7665"/>
              </w:tabs>
              <w:kinsoku/>
              <w:wordWrap/>
              <w:overflowPunct/>
              <w:topLinePunct w:val="0"/>
              <w:autoSpaceDE/>
              <w:autoSpaceDN/>
              <w:bidi w:val="0"/>
              <w:adjustRightInd w:val="0"/>
              <w:snapToGrid w:val="0"/>
              <w:spacing w:line="480" w:lineRule="exact"/>
              <w:jc w:val="center"/>
              <w:rPr>
                <w:rFonts w:hint="default" w:ascii="宋体" w:hAnsi="宋体" w:cs="宋体"/>
                <w:bCs/>
                <w:color w:val="auto"/>
                <w:kern w:val="2"/>
                <w:sz w:val="24"/>
                <w:szCs w:val="24"/>
                <w:highlight w:val="none"/>
                <w:lang w:val="en-US" w:eastAsia="zh-CN"/>
              </w:rPr>
            </w:pPr>
            <w:r>
              <w:rPr>
                <w:rFonts w:hint="eastAsia" w:ascii="宋体" w:hAnsi="宋体" w:cs="宋体"/>
                <w:bCs/>
                <w:color w:val="auto"/>
                <w:kern w:val="2"/>
                <w:sz w:val="24"/>
                <w:szCs w:val="24"/>
                <w:highlight w:val="none"/>
                <w:lang w:val="en-US" w:eastAsia="zh-CN"/>
              </w:rPr>
              <w:t>24</w:t>
            </w:r>
          </w:p>
        </w:tc>
        <w:tc>
          <w:tcPr>
            <w:tcW w:w="2039" w:type="dxa"/>
            <w:noWrap w:val="0"/>
            <w:vAlign w:val="center"/>
          </w:tcPr>
          <w:p w14:paraId="2DF7FA28">
            <w:pPr>
              <w:pStyle w:val="101"/>
              <w:spacing w:line="360" w:lineRule="auto"/>
              <w:jc w:val="center"/>
              <w:rPr>
                <w:rFonts w:hint="eastAsia" w:cs="宋体"/>
                <w:color w:val="auto"/>
                <w:highlight w:val="none"/>
                <w:lang w:val="en-US" w:eastAsia="zh-CN"/>
              </w:rPr>
            </w:pPr>
            <w:r>
              <w:rPr>
                <w:rFonts w:hint="eastAsia" w:cs="宋体"/>
                <w:color w:val="auto"/>
                <w:highlight w:val="none"/>
                <w:lang w:val="en-US" w:eastAsia="zh-CN"/>
              </w:rPr>
              <w:t>投标保证金</w:t>
            </w:r>
          </w:p>
          <w:p w14:paraId="46F6C364">
            <w:pPr>
              <w:pStyle w:val="101"/>
              <w:spacing w:line="360" w:lineRule="auto"/>
              <w:jc w:val="center"/>
              <w:rPr>
                <w:rFonts w:hint="default" w:cs="宋体"/>
                <w:color w:val="auto"/>
                <w:highlight w:val="none"/>
                <w:lang w:val="en-US" w:eastAsia="zh-CN"/>
              </w:rPr>
            </w:pPr>
            <w:r>
              <w:rPr>
                <w:rFonts w:hint="eastAsia" w:cs="宋体"/>
                <w:color w:val="auto"/>
                <w:highlight w:val="none"/>
                <w:lang w:val="en-US" w:eastAsia="zh-CN"/>
              </w:rPr>
              <w:t xml:space="preserve"> （实质性要求）</w:t>
            </w:r>
          </w:p>
        </w:tc>
        <w:tc>
          <w:tcPr>
            <w:tcW w:w="6026" w:type="dxa"/>
            <w:noWrap w:val="0"/>
            <w:vAlign w:val="center"/>
          </w:tcPr>
          <w:p w14:paraId="0A0026BF">
            <w:pPr>
              <w:pStyle w:val="216"/>
              <w:tabs>
                <w:tab w:val="left" w:pos="7665"/>
              </w:tabs>
              <w:snapToGrid w:val="0"/>
              <w:spacing w:line="240" w:lineRule="auto"/>
              <w:jc w:val="left"/>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 xml:space="preserve">金额（人民币）：2600元； </w:t>
            </w:r>
          </w:p>
          <w:p w14:paraId="42DB20A3">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交款方式：支票、汇票、本票或者金融机构出具的保函等非现金形式提交；供应商未按照磋商文件书件要求提交保证金的，响应文件将作为无效响应处理。</w:t>
            </w:r>
          </w:p>
          <w:p w14:paraId="0D6BD69E">
            <w:pPr>
              <w:pStyle w:val="216"/>
              <w:tabs>
                <w:tab w:val="left" w:pos="7665"/>
              </w:tabs>
              <w:snapToGrid w:val="0"/>
              <w:spacing w:line="360" w:lineRule="auto"/>
              <w:jc w:val="left"/>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账户名：四川凉都招标代理有限公司</w:t>
            </w:r>
          </w:p>
          <w:p w14:paraId="23C351DF">
            <w:pPr>
              <w:pStyle w:val="216"/>
              <w:tabs>
                <w:tab w:val="left" w:pos="7665"/>
              </w:tabs>
              <w:snapToGrid w:val="0"/>
              <w:spacing w:line="360" w:lineRule="auto"/>
              <w:jc w:val="left"/>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银行账号：51050181004300000003</w:t>
            </w:r>
          </w:p>
          <w:p w14:paraId="6FC73B01">
            <w:pPr>
              <w:pStyle w:val="216"/>
              <w:tabs>
                <w:tab w:val="left" w:pos="7665"/>
              </w:tabs>
              <w:snapToGrid w:val="0"/>
              <w:spacing w:line="360" w:lineRule="auto"/>
              <w:jc w:val="left"/>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开户银行：中国建设银行股份有限公司西昌外滩支行</w:t>
            </w:r>
          </w:p>
          <w:p w14:paraId="176A6151">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外滩建行行号105684000012</w:t>
            </w:r>
          </w:p>
          <w:p w14:paraId="0DB647C3">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 xml:space="preserve">交款截止时间：2026年6月15日下午17:00（转账,电汇的交纳以银行到账时间为准；若以保函方式提交的，需提交保函原件，且保函生效时间须在交款截止时间前）。 </w:t>
            </w:r>
          </w:p>
          <w:p w14:paraId="24EBB8AB">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注：转账,电汇的交纳以银行到账时间为准。</w:t>
            </w:r>
          </w:p>
          <w:p w14:paraId="02182DC6">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若以金融机构保函方式缴纳的按以下要求提交：</w:t>
            </w:r>
          </w:p>
          <w:p w14:paraId="74A0BA80">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1.保函的格式以金融机构的格式为准，保函的内容必须包括但不限于供应商名称、项目名称（如有分包，则应当按响应包件分别出具保函并写明包件名称）、项目编号、保证金金额、保函的有效期（应当算至响应有效期后三十日）、担保的内容（即：如因供应商原因发生磋商文件规定的保证金不予退还的情况，由担保方向受益人足额支付保证金）。受益人为四川五洲招标代理有限公司。</w:t>
            </w:r>
          </w:p>
          <w:p w14:paraId="551FBBD5">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2. 供应商必须在保证金交款截止时间前向采购代理机构现场提交保函原件供验证，截止时间后递交的将被拒绝接收。</w:t>
            </w:r>
          </w:p>
          <w:p w14:paraId="3D75CA8C">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3. 递交和退还保函原件时供应商须到采购代理机构现场提供以下证明材料：</w:t>
            </w:r>
          </w:p>
          <w:p w14:paraId="6AE83379">
            <w:pPr>
              <w:snapToGrid w:val="0"/>
              <w:outlineLvl w:val="5"/>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（1）法定代表人授权委托书原件，法定代表人及被授权人签字并加盖公章（鲜章）；</w:t>
            </w:r>
          </w:p>
          <w:p w14:paraId="2B5A3F34">
            <w:pPr>
              <w:pStyle w:val="101"/>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（2）委托代理人身份证复印件并加盖公章（鲜章）</w:t>
            </w:r>
            <w:r>
              <w:rPr>
                <w:rFonts w:hint="eastAsia" w:asciiTheme="minorEastAsia" w:hAnsiTheme="minorEastAsia" w:eastAsiaTheme="minorEastAsia" w:cstheme="minorEastAsia"/>
                <w:bCs/>
                <w:color w:val="auto"/>
                <w:kern w:val="2"/>
              </w:rPr>
              <w:t>；</w:t>
            </w:r>
          </w:p>
        </w:tc>
      </w:tr>
      <w:bookmarkEnd w:id="42"/>
    </w:tbl>
    <w:p w14:paraId="7AD5639C">
      <w:pPr>
        <w:pStyle w:val="3"/>
        <w:keepLines w:val="0"/>
        <w:pageBreakBefore w:val="0"/>
        <w:kinsoku/>
        <w:overflowPunct/>
        <w:bidi w:val="0"/>
        <w:spacing w:line="360" w:lineRule="auto"/>
        <w:jc w:val="center"/>
        <w:rPr>
          <w:color w:val="auto"/>
          <w:highlight w:val="none"/>
        </w:rPr>
      </w:pPr>
      <w:r>
        <w:rPr>
          <w:rFonts w:hint="eastAsia"/>
          <w:color w:val="auto"/>
          <w:highlight w:val="none"/>
        </w:rPr>
        <w:br w:type="page"/>
      </w:r>
      <w:r>
        <w:rPr>
          <w:rFonts w:hint="eastAsia"/>
          <w:color w:val="auto"/>
          <w:highlight w:val="none"/>
        </w:rPr>
        <w:t>二、总  则</w:t>
      </w:r>
      <w:bookmarkEnd w:id="31"/>
      <w:bookmarkEnd w:id="32"/>
      <w:bookmarkEnd w:id="33"/>
      <w:bookmarkEnd w:id="34"/>
      <w:bookmarkEnd w:id="35"/>
      <w:bookmarkEnd w:id="36"/>
      <w:bookmarkEnd w:id="37"/>
    </w:p>
    <w:p w14:paraId="504044B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43" w:name="_Toc183682342"/>
      <w:bookmarkStart w:id="44" w:name="_Toc183582205"/>
      <w:bookmarkStart w:id="45" w:name="_Toc217446034"/>
      <w:r>
        <w:rPr>
          <w:rFonts w:hint="eastAsia" w:ascii="宋体" w:hAnsi="宋体"/>
          <w:b/>
          <w:bCs/>
          <w:color w:val="auto"/>
          <w:sz w:val="24"/>
          <w:highlight w:val="none"/>
          <w:lang w:eastAsia="zh-CN"/>
        </w:rPr>
        <w:t>1.</w:t>
      </w:r>
      <w:bookmarkEnd w:id="43"/>
      <w:bookmarkEnd w:id="44"/>
      <w:r>
        <w:rPr>
          <w:rFonts w:hint="eastAsia" w:ascii="宋体" w:hAnsi="宋体"/>
          <w:b/>
          <w:bCs/>
          <w:color w:val="auto"/>
          <w:sz w:val="24"/>
          <w:highlight w:val="none"/>
          <w:lang w:eastAsia="zh-CN"/>
        </w:rPr>
        <w:t xml:space="preserve"> 适用范围</w:t>
      </w:r>
      <w:bookmarkEnd w:id="45"/>
    </w:p>
    <w:p w14:paraId="1D9641AA">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1.1  本招标文件仅适用于本次公开招标采购项目。</w:t>
      </w:r>
    </w:p>
    <w:p w14:paraId="19527D5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46" w:name="_Toc183582206"/>
      <w:bookmarkStart w:id="47" w:name="_Toc183682343"/>
      <w:bookmarkStart w:id="48" w:name="_Toc217446035"/>
      <w:r>
        <w:rPr>
          <w:rFonts w:hint="eastAsia" w:ascii="宋体" w:hAnsi="宋体"/>
          <w:b/>
          <w:bCs/>
          <w:color w:val="auto"/>
          <w:sz w:val="24"/>
          <w:highlight w:val="none"/>
          <w:lang w:eastAsia="zh-CN"/>
        </w:rPr>
        <w:t xml:space="preserve">2. </w:t>
      </w:r>
      <w:bookmarkEnd w:id="46"/>
      <w:bookmarkEnd w:id="47"/>
      <w:r>
        <w:rPr>
          <w:rFonts w:hint="eastAsia" w:ascii="宋体" w:hAnsi="宋体"/>
          <w:b/>
          <w:bCs/>
          <w:color w:val="auto"/>
          <w:sz w:val="24"/>
          <w:highlight w:val="none"/>
          <w:lang w:eastAsia="zh-CN"/>
        </w:rPr>
        <w:t>有关定义</w:t>
      </w:r>
      <w:bookmarkEnd w:id="48"/>
    </w:p>
    <w:p w14:paraId="35955ED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2.1 “采购人”系指依法进行政府采购的国家机关、事业单位、团体组织。本次招标的采购人是</w:t>
      </w:r>
      <w:r>
        <w:rPr>
          <w:rFonts w:hint="eastAsia" w:ascii="宋体" w:hAnsi="宋体"/>
          <w:color w:val="auto"/>
          <w:sz w:val="24"/>
          <w:highlight w:val="none"/>
          <w:lang w:val="en-US" w:eastAsia="zh-CN"/>
        </w:rPr>
        <w:t>西昌市消防救援大队</w:t>
      </w:r>
      <w:r>
        <w:rPr>
          <w:rFonts w:hint="eastAsia" w:hAnsi="宋体" w:cs="宋体"/>
          <w:b w:val="0"/>
          <w:bCs/>
          <w:color w:val="auto"/>
          <w:highlight w:val="none"/>
        </w:rPr>
        <w:t>。</w:t>
      </w:r>
    </w:p>
    <w:p w14:paraId="5D7F976D">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2.2 “采购代理机构” 系指根据采购人的委托依法办理招标事宜的采购机构。本次招标的采购代理机构是</w:t>
      </w:r>
      <w:r>
        <w:rPr>
          <w:rFonts w:hint="eastAsia" w:hAnsi="宋体" w:cs="宋体"/>
          <w:b w:val="0"/>
          <w:bCs/>
          <w:color w:val="auto"/>
          <w:highlight w:val="none"/>
          <w:u w:val="single"/>
          <w:lang w:eastAsia="zh-CN"/>
        </w:rPr>
        <w:t>四川凉都招标代理有限公司</w:t>
      </w:r>
      <w:r>
        <w:rPr>
          <w:rFonts w:hint="eastAsia" w:hAnsi="宋体" w:cs="宋体"/>
          <w:b w:val="0"/>
          <w:bCs/>
          <w:color w:val="auto"/>
          <w:highlight w:val="none"/>
        </w:rPr>
        <w:t>。</w:t>
      </w:r>
    </w:p>
    <w:p w14:paraId="50118A5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2.3 “招标采购单位”系指“采购人”和“采购代理机构”的统称。</w:t>
      </w:r>
    </w:p>
    <w:p w14:paraId="5ED514C5">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2.4 “投标人”系指购买了招标文件拟参加投标和向采购人提供货物及相应服务的供应商。</w:t>
      </w:r>
      <w:bookmarkStart w:id="49" w:name="_Toc183582207"/>
      <w:bookmarkStart w:id="50" w:name="_Toc183682344"/>
      <w:bookmarkStart w:id="51" w:name="_Toc217446036"/>
      <w:bookmarkStart w:id="52" w:name="_Toc217390843"/>
    </w:p>
    <w:p w14:paraId="2375734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 合格的投标人</w:t>
      </w:r>
      <w:bookmarkEnd w:id="49"/>
      <w:bookmarkEnd w:id="50"/>
      <w:bookmarkEnd w:id="51"/>
      <w:bookmarkEnd w:id="52"/>
      <w:r>
        <w:rPr>
          <w:rFonts w:hint="eastAsia" w:ascii="宋体" w:hAnsi="宋体"/>
          <w:b/>
          <w:bCs/>
          <w:color w:val="auto"/>
          <w:sz w:val="24"/>
          <w:highlight w:val="none"/>
          <w:lang w:eastAsia="zh-CN"/>
        </w:rPr>
        <w:t>（实质性要求）</w:t>
      </w:r>
    </w:p>
    <w:p w14:paraId="0B8E376A">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3.1合格的投标人应具备以下条件：</w:t>
      </w:r>
    </w:p>
    <w:p w14:paraId="5319F57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（1）本招标文件规定的供应商资格条件；</w:t>
      </w:r>
    </w:p>
    <w:p w14:paraId="4FC9A8D7">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（2）向采购代理机构购买了招标文件并登记备案；</w:t>
      </w:r>
    </w:p>
    <w:p w14:paraId="75374317">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（3）遵守国家有关的法律、法规、规章和其他政策制度；</w:t>
      </w:r>
    </w:p>
    <w:p w14:paraId="4225AD7F">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（4）不属于禁止参加本项目采购活动的供应商；</w:t>
      </w:r>
    </w:p>
    <w:p w14:paraId="4631DA7A">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供应商在参加政府采购活动前，未被纳入法院、工商行政管理部门、税务部门、银行认定的失信名单且在有效期内，或者在前三年政府采购合同履约过程中及其他经营活动履约过程中未依法履约被有关部门处罚（处理）。</w:t>
      </w:r>
    </w:p>
    <w:p w14:paraId="2B0E006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53" w:name="_Toc217446037"/>
      <w:bookmarkStart w:id="54" w:name="_Toc183682345"/>
      <w:bookmarkStart w:id="55" w:name="_Toc183582208"/>
      <w:r>
        <w:rPr>
          <w:rFonts w:hint="eastAsia" w:ascii="宋体" w:hAnsi="宋体"/>
          <w:b/>
          <w:bCs/>
          <w:color w:val="auto"/>
          <w:sz w:val="24"/>
          <w:highlight w:val="none"/>
          <w:lang w:eastAsia="zh-CN"/>
        </w:rPr>
        <w:t>4. 投标费用</w:t>
      </w:r>
      <w:bookmarkEnd w:id="53"/>
      <w:bookmarkEnd w:id="54"/>
      <w:bookmarkEnd w:id="55"/>
      <w:r>
        <w:rPr>
          <w:rFonts w:hint="eastAsia" w:ascii="宋体" w:hAnsi="宋体"/>
          <w:b/>
          <w:bCs/>
          <w:color w:val="auto"/>
          <w:sz w:val="24"/>
          <w:highlight w:val="none"/>
          <w:lang w:eastAsia="zh-CN"/>
        </w:rPr>
        <w:t>（实质性要求）</w:t>
      </w:r>
    </w:p>
    <w:p w14:paraId="0E3C6DE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投标人参加投标的有关费用由投标人自行承担。</w:t>
      </w:r>
    </w:p>
    <w:p w14:paraId="5331B5D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56" w:name="_Toc183582209"/>
      <w:bookmarkStart w:id="57" w:name="_Toc12399"/>
      <w:bookmarkStart w:id="58" w:name="_Toc77400779"/>
      <w:bookmarkStart w:id="59" w:name="_Toc20146"/>
      <w:bookmarkStart w:id="60" w:name="_Toc217446038"/>
      <w:bookmarkStart w:id="61" w:name="_Toc183682346"/>
      <w:bookmarkStart w:id="62" w:name="_Toc89075875"/>
      <w:r>
        <w:rPr>
          <w:rFonts w:hint="eastAsia" w:ascii="宋体" w:hAnsi="宋体"/>
          <w:b/>
          <w:bCs/>
          <w:color w:val="auto"/>
          <w:sz w:val="24"/>
          <w:highlight w:val="none"/>
          <w:lang w:eastAsia="zh-CN"/>
        </w:rPr>
        <w:t>5、充分、公平竞争保障措施（实质性要求）</w:t>
      </w:r>
    </w:p>
    <w:p w14:paraId="7612ED4F">
      <w:pPr>
        <w:pStyle w:val="111"/>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5.1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F1B956A">
      <w:pPr>
        <w:spacing w:line="360" w:lineRule="auto"/>
        <w:ind w:firstLine="480" w:firstLineChars="200"/>
        <w:rPr>
          <w:rFonts w:hint="eastAsia" w:hAnsi="宋体" w:cs="宋体"/>
          <w:b w:val="0"/>
          <w:bCs/>
          <w:color w:val="auto"/>
          <w:highlight w:val="none"/>
        </w:rPr>
      </w:pPr>
      <w:r>
        <w:rPr>
          <w:rFonts w:hint="eastAsia" w:hAnsi="宋体" w:cs="宋体"/>
          <w:b w:val="0"/>
          <w:bCs/>
          <w:color w:val="auto"/>
          <w:highlight w:val="none"/>
        </w:rPr>
        <w:t>非单一产品采购项目，采购人根据采购项目技术构成、产品价格比重等合理确定核心产品，</w:t>
      </w:r>
      <w:r>
        <w:rPr>
          <w:rFonts w:hint="eastAsia" w:hAnsi="宋体" w:cs="宋体"/>
          <w:b/>
          <w:bCs w:val="0"/>
          <w:color w:val="auto"/>
          <w:highlight w:val="none"/>
        </w:rPr>
        <w:t>本项目核心产品</w:t>
      </w:r>
      <w:r>
        <w:rPr>
          <w:rFonts w:hint="eastAsia" w:hAnsi="宋体" w:cs="宋体"/>
          <w:b/>
          <w:bCs w:val="0"/>
          <w:color w:val="auto"/>
          <w:highlight w:val="none"/>
          <w:lang w:val="en-US" w:eastAsia="zh-CN"/>
        </w:rPr>
        <w:t>为：</w:t>
      </w:r>
      <w:r>
        <w:rPr>
          <w:rFonts w:hint="eastAsia" w:ascii="宋体" w:hAnsi="宋体" w:eastAsia="宋体" w:cs="宋体"/>
          <w:b/>
          <w:bCs/>
          <w:color w:val="auto"/>
          <w:kern w:val="0"/>
          <w:sz w:val="24"/>
          <w:szCs w:val="20"/>
          <w:highlight w:val="none"/>
          <w:lang w:val="en-US" w:eastAsia="zh-CN"/>
        </w:rPr>
        <w:t>综合体能评估系统</w:t>
      </w:r>
      <w:r>
        <w:rPr>
          <w:rFonts w:hint="eastAsia" w:hAnsi="宋体" w:cs="宋体"/>
          <w:b/>
          <w:bCs w:val="0"/>
          <w:color w:val="auto"/>
          <w:highlight w:val="none"/>
        </w:rPr>
        <w:t>。</w:t>
      </w:r>
      <w:r>
        <w:rPr>
          <w:rFonts w:hint="eastAsia" w:hAnsi="宋体" w:cs="宋体"/>
          <w:b w:val="0"/>
          <w:bCs/>
          <w:color w:val="auto"/>
          <w:highlight w:val="none"/>
        </w:rPr>
        <w:t>多家投标人提供的核心产品品牌相同的，按前两款规定处理。</w:t>
      </w:r>
    </w:p>
    <w:p w14:paraId="7222AD6A">
      <w:pPr>
        <w:pStyle w:val="111"/>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5.2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14:paraId="7EC99B7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2565E9B">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5.4利害关系代理人处理。2家以上的供应商不得在同一合同项下的采购项目中，同时委托同一个自然人、同一家庭的人员、同一单位的人员作为其代理人，否则，其投标文件作为无效处理。</w:t>
      </w:r>
    </w:p>
    <w:p w14:paraId="1F915BD9">
      <w:pPr>
        <w:pStyle w:val="89"/>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5.5有下列情形之一的，视为投标人串通投标，其投标无效：</w:t>
      </w:r>
    </w:p>
    <w:p w14:paraId="3E4A1B27">
      <w:pPr>
        <w:pStyle w:val="89"/>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(一)不同投标人的投标文件由同一单位或者个人编制;</w:t>
      </w:r>
    </w:p>
    <w:p w14:paraId="45F42C61">
      <w:pPr>
        <w:pStyle w:val="89"/>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(二)不同投标人委托同一单位或者个人办理投标事宜;</w:t>
      </w:r>
    </w:p>
    <w:p w14:paraId="772DFFF8">
      <w:pPr>
        <w:pStyle w:val="89"/>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(三)不同投标人的投标文件载明的项目管理成员或者联系人员为同一人（项目管理成员系指投标文件里供应商提供的法定代表人、被授权人及在投标文件里明确为本项目实施服务的具体人员）;</w:t>
      </w:r>
    </w:p>
    <w:p w14:paraId="418385AD">
      <w:pPr>
        <w:pStyle w:val="89"/>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(四)不同投标人的投标文件异常一致或者投标报价呈规律性差异;</w:t>
      </w:r>
    </w:p>
    <w:p w14:paraId="680735F5">
      <w:pPr>
        <w:pStyle w:val="89"/>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(五)不同投标人的投标文件相互混装;</w:t>
      </w:r>
    </w:p>
    <w:p w14:paraId="11A9B9D1">
      <w:pPr>
        <w:pStyle w:val="89"/>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(六)不同投标人的投标保证金（如有）从同一单位或者个人的账户转出。</w:t>
      </w:r>
    </w:p>
    <w:p w14:paraId="439BB237">
      <w:pPr>
        <w:pStyle w:val="3"/>
        <w:keepLines w:val="0"/>
        <w:pageBreakBefore w:val="0"/>
        <w:kinsoku/>
        <w:overflowPunct/>
        <w:bidi w:val="0"/>
        <w:spacing w:line="360" w:lineRule="auto"/>
        <w:jc w:val="center"/>
        <w:rPr>
          <w:rFonts w:hint="eastAsia"/>
          <w:color w:val="auto"/>
          <w:highlight w:val="none"/>
        </w:rPr>
      </w:pPr>
      <w:r>
        <w:rPr>
          <w:rFonts w:hint="eastAsia"/>
          <w:color w:val="auto"/>
          <w:highlight w:val="none"/>
        </w:rPr>
        <w:t>三、招标文件</w:t>
      </w:r>
      <w:bookmarkEnd w:id="56"/>
      <w:bookmarkEnd w:id="57"/>
      <w:bookmarkEnd w:id="58"/>
      <w:bookmarkEnd w:id="59"/>
      <w:bookmarkEnd w:id="60"/>
      <w:bookmarkEnd w:id="61"/>
      <w:bookmarkEnd w:id="62"/>
    </w:p>
    <w:p w14:paraId="0A79385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63" w:name="_Toc183682347"/>
      <w:bookmarkStart w:id="64" w:name="_Toc217446039"/>
      <w:bookmarkStart w:id="65" w:name="_Toc183582210"/>
      <w:r>
        <w:rPr>
          <w:rFonts w:hint="eastAsia" w:ascii="宋体" w:hAnsi="宋体"/>
          <w:b/>
          <w:bCs/>
          <w:color w:val="auto"/>
          <w:sz w:val="24"/>
          <w:highlight w:val="none"/>
          <w:lang w:eastAsia="zh-CN"/>
        </w:rPr>
        <w:t>6．招标文件的构成</w:t>
      </w:r>
      <w:bookmarkEnd w:id="63"/>
      <w:bookmarkEnd w:id="64"/>
      <w:bookmarkEnd w:id="65"/>
    </w:p>
    <w:p w14:paraId="7D78C95D">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6.1 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5FF869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（一）投标邀请；</w:t>
      </w:r>
    </w:p>
    <w:p w14:paraId="05FD654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（二）投标人须知；</w:t>
      </w:r>
    </w:p>
    <w:p w14:paraId="4869A0B5">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（三）投标文件格式；</w:t>
      </w:r>
    </w:p>
    <w:p w14:paraId="1B20B86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（四）投标人和投标产品的资格、资质性及其他类似效力要求；</w:t>
      </w:r>
    </w:p>
    <w:p w14:paraId="2DDEB40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（五）投标人应当提供的资格、资质性及其他类似效力要求的相关证明材料；</w:t>
      </w:r>
    </w:p>
    <w:p w14:paraId="7F49418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（六）本项目技术、服务、政府采购履约主要条款及其他要求条款；</w:t>
      </w:r>
    </w:p>
    <w:p w14:paraId="081F84A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（七）评标办法；</w:t>
      </w:r>
      <w:r>
        <w:rPr>
          <w:rFonts w:hint="eastAsia" w:hAnsi="宋体" w:cs="宋体"/>
          <w:b w:val="0"/>
          <w:bCs/>
          <w:color w:val="auto"/>
          <w:highlight w:val="none"/>
        </w:rPr>
        <w:tab/>
      </w:r>
      <w:r>
        <w:rPr>
          <w:rFonts w:hint="eastAsia" w:hAnsi="宋体" w:cs="宋体"/>
          <w:b w:val="0"/>
          <w:bCs/>
          <w:color w:val="auto"/>
          <w:highlight w:val="none"/>
        </w:rPr>
        <w:tab/>
      </w:r>
    </w:p>
    <w:p w14:paraId="0A553D0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（八）政府采购合同（草案）。</w:t>
      </w:r>
    </w:p>
    <w:p w14:paraId="3C24302A">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6.2 投标人应认真阅读和充分理解招标文件中所有的事项、格式条款和规范要求。投标人没有对招标文件全面做出实质性响应是投标人的风险。没有按照招标文件要求作出实质性响应的投标文件将被拒绝。</w:t>
      </w:r>
    </w:p>
    <w:p w14:paraId="6E9B97F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66" w:name="_Toc183682348"/>
      <w:bookmarkStart w:id="67" w:name="_Toc183582211"/>
      <w:bookmarkStart w:id="68" w:name="_Toc217446040"/>
      <w:r>
        <w:rPr>
          <w:rFonts w:hint="eastAsia" w:ascii="宋体" w:hAnsi="宋体"/>
          <w:b/>
          <w:bCs/>
          <w:color w:val="auto"/>
          <w:sz w:val="24"/>
          <w:highlight w:val="none"/>
          <w:lang w:eastAsia="zh-CN"/>
        </w:rPr>
        <w:t>7. 招标文件的澄清</w:t>
      </w:r>
      <w:bookmarkEnd w:id="66"/>
      <w:bookmarkEnd w:id="67"/>
      <w:r>
        <w:rPr>
          <w:rFonts w:hint="eastAsia" w:ascii="宋体" w:hAnsi="宋体"/>
          <w:b/>
          <w:bCs/>
          <w:color w:val="auto"/>
          <w:sz w:val="24"/>
          <w:highlight w:val="none"/>
          <w:lang w:eastAsia="zh-CN"/>
        </w:rPr>
        <w:t>和修改</w:t>
      </w:r>
      <w:bookmarkEnd w:id="68"/>
    </w:p>
    <w:p w14:paraId="233C746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7.1招标采购单位可以依法对招标文件进行澄清或者修改。</w:t>
      </w:r>
    </w:p>
    <w:p w14:paraId="18A1F4E5">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7.2招标采购单位对已发出的招标文件进行澄清或者修改，应当以书面形式将澄清或者修改的内容通知所有购买了招标文件的供应商，同时在“</w:t>
      </w:r>
      <w:r>
        <w:rPr>
          <w:rFonts w:hint="eastAsia" w:hAnsi="宋体" w:cs="宋体"/>
          <w:b w:val="0"/>
          <w:bCs/>
          <w:color w:val="auto"/>
          <w:highlight w:val="none"/>
          <w:lang w:eastAsia="zh-CN"/>
        </w:rPr>
        <w:t>中国政府采购网</w:t>
      </w:r>
      <w:r>
        <w:rPr>
          <w:rFonts w:hint="eastAsia" w:hAnsi="宋体" w:cs="宋体"/>
          <w:b w:val="0"/>
          <w:bCs/>
          <w:color w:val="auto"/>
          <w:highlight w:val="none"/>
        </w:rPr>
        <w:t>”上发布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w:t>
      </w:r>
    </w:p>
    <w:p w14:paraId="3F9E09A3">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7.3 投标人认为需要对招标文件进行澄清或者修改的，可以以书面形式向招标采购单位提出申请，但招标采购单位可以决定是否采纳投标人的申请事项。</w:t>
      </w:r>
    </w:p>
    <w:p w14:paraId="0188C24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69" w:name="_Toc208848971"/>
      <w:bookmarkStart w:id="70" w:name="_Toc217446041"/>
      <w:r>
        <w:rPr>
          <w:rFonts w:hint="eastAsia" w:ascii="宋体" w:hAnsi="宋体"/>
          <w:b/>
          <w:bCs/>
          <w:color w:val="auto"/>
          <w:sz w:val="24"/>
          <w:highlight w:val="none"/>
          <w:lang w:eastAsia="zh-CN"/>
        </w:rPr>
        <w:t>8. 答疑会和现场考察</w:t>
      </w:r>
      <w:bookmarkEnd w:id="69"/>
      <w:bookmarkEnd w:id="70"/>
    </w:p>
    <w:p w14:paraId="1DB1A1A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4798FE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8.2 供应商考察现场所发生的一切费用由供应商自己承担。</w:t>
      </w:r>
    </w:p>
    <w:p w14:paraId="6FFC89AC">
      <w:pPr>
        <w:pStyle w:val="3"/>
        <w:keepLines w:val="0"/>
        <w:pageBreakBefore w:val="0"/>
        <w:kinsoku/>
        <w:overflowPunct/>
        <w:bidi w:val="0"/>
        <w:spacing w:line="360" w:lineRule="auto"/>
        <w:rPr>
          <w:color w:val="auto"/>
          <w:highlight w:val="none"/>
        </w:rPr>
      </w:pPr>
      <w:bookmarkStart w:id="71" w:name="_Toc32092"/>
      <w:bookmarkStart w:id="72" w:name="_Toc217446042"/>
      <w:bookmarkStart w:id="73" w:name="_Toc183582214"/>
      <w:bookmarkStart w:id="74" w:name="_Toc183682351"/>
      <w:bookmarkStart w:id="75" w:name="_Toc89075876"/>
      <w:bookmarkStart w:id="76" w:name="_Toc15488"/>
      <w:bookmarkStart w:id="77" w:name="_Toc77400780"/>
      <w:r>
        <w:rPr>
          <w:rFonts w:hint="eastAsia"/>
          <w:color w:val="auto"/>
          <w:highlight w:val="none"/>
        </w:rPr>
        <w:t>四、投标文件</w:t>
      </w:r>
      <w:bookmarkEnd w:id="71"/>
      <w:bookmarkEnd w:id="72"/>
      <w:bookmarkEnd w:id="73"/>
      <w:bookmarkEnd w:id="74"/>
      <w:bookmarkEnd w:id="75"/>
      <w:bookmarkEnd w:id="76"/>
      <w:bookmarkEnd w:id="77"/>
    </w:p>
    <w:p w14:paraId="57AFCEC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78" w:name="_Toc217446043"/>
      <w:bookmarkStart w:id="79" w:name="_Toc183682352"/>
      <w:bookmarkStart w:id="80" w:name="_Toc183582215"/>
      <w:r>
        <w:rPr>
          <w:rFonts w:hint="eastAsia" w:ascii="宋体" w:hAnsi="宋体"/>
          <w:b/>
          <w:bCs/>
          <w:color w:val="auto"/>
          <w:sz w:val="24"/>
          <w:highlight w:val="none"/>
          <w:lang w:eastAsia="zh-CN"/>
        </w:rPr>
        <w:t>9．投标文件的语言</w:t>
      </w:r>
      <w:bookmarkEnd w:id="78"/>
      <w:bookmarkEnd w:id="79"/>
      <w:bookmarkEnd w:id="80"/>
    </w:p>
    <w:p w14:paraId="44AE558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9.1 投标人提交的投标文件以及投标人与招标采购单位就有关投标的所有来往书面文件均须使用中文</w:t>
      </w:r>
      <w:r>
        <w:rPr>
          <w:rFonts w:hint="eastAsia" w:hAnsi="宋体" w:cs="宋体"/>
          <w:b/>
          <w:bCs w:val="0"/>
          <w:color w:val="auto"/>
          <w:highlight w:val="none"/>
        </w:rPr>
        <w:t>（实质性要求）</w:t>
      </w:r>
      <w:r>
        <w:rPr>
          <w:rFonts w:hint="eastAsia" w:hAnsi="宋体" w:cs="宋体"/>
          <w:b w:val="0"/>
          <w:bCs/>
          <w:color w:val="auto"/>
          <w:highlight w:val="none"/>
        </w:rPr>
        <w:t>。投标文件中如附有外文资料，应对应翻译成中文并加盖投标人公章后附在相关外文资料后面。（说明：供应商的法定代表人为外籍人士的，法定代表人的签字和护照除外。）</w:t>
      </w:r>
    </w:p>
    <w:p w14:paraId="4CC6701F">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9.2 翻译的中文资料与外文资料如果出现差异和矛盾时，以中文为准。</w:t>
      </w:r>
      <w:bookmarkStart w:id="81" w:name="_Toc183682353"/>
      <w:bookmarkStart w:id="82" w:name="_Toc183582216"/>
      <w:bookmarkStart w:id="83" w:name="_Toc217446044"/>
      <w:r>
        <w:rPr>
          <w:rFonts w:hint="eastAsia" w:hAnsi="宋体" w:cs="宋体"/>
          <w:b w:val="0"/>
          <w:bCs/>
          <w:color w:val="auto"/>
          <w:highlight w:val="none"/>
        </w:rPr>
        <w:t>涉嫌虚假响应的按照相关法律法规处理。</w:t>
      </w:r>
    </w:p>
    <w:p w14:paraId="4167A76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10．计量单位</w:t>
      </w:r>
      <w:bookmarkEnd w:id="81"/>
      <w:bookmarkEnd w:id="82"/>
      <w:bookmarkEnd w:id="83"/>
      <w:r>
        <w:rPr>
          <w:rFonts w:hint="eastAsia" w:ascii="宋体" w:hAnsi="宋体"/>
          <w:b/>
          <w:bCs/>
          <w:color w:val="auto"/>
          <w:sz w:val="24"/>
          <w:highlight w:val="none"/>
          <w:lang w:eastAsia="zh-CN"/>
        </w:rPr>
        <w:t>（实质性要求）</w:t>
      </w:r>
    </w:p>
    <w:p w14:paraId="0B16BE8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除招标文件中另有规定外，本次采购项目所有合同项下的投标均采用国家法定的计量单位。</w:t>
      </w:r>
    </w:p>
    <w:p w14:paraId="389C9E2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84" w:name="_Toc217446045"/>
      <w:r>
        <w:rPr>
          <w:rFonts w:hint="eastAsia" w:ascii="宋体" w:hAnsi="宋体"/>
          <w:b/>
          <w:bCs/>
          <w:color w:val="auto"/>
          <w:sz w:val="24"/>
          <w:highlight w:val="none"/>
          <w:lang w:eastAsia="zh-CN"/>
        </w:rPr>
        <w:t>11. 投标货币</w:t>
      </w:r>
      <w:bookmarkEnd w:id="84"/>
      <w:r>
        <w:rPr>
          <w:rFonts w:hint="eastAsia" w:ascii="宋体" w:hAnsi="宋体"/>
          <w:b/>
          <w:bCs/>
          <w:color w:val="auto"/>
          <w:sz w:val="24"/>
          <w:highlight w:val="none"/>
          <w:lang w:eastAsia="zh-CN"/>
        </w:rPr>
        <w:t>（实质性要求）</w:t>
      </w:r>
    </w:p>
    <w:p w14:paraId="4658FF0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本次招标项目的投标均以人民币报价。</w:t>
      </w:r>
    </w:p>
    <w:p w14:paraId="6FAE306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85" w:name="_Toc217446046"/>
      <w:r>
        <w:rPr>
          <w:rFonts w:hint="eastAsia" w:ascii="宋体" w:hAnsi="宋体"/>
          <w:b/>
          <w:bCs/>
          <w:color w:val="auto"/>
          <w:sz w:val="24"/>
          <w:highlight w:val="none"/>
          <w:lang w:eastAsia="zh-CN"/>
        </w:rPr>
        <w:t>12. 联合体投标</w:t>
      </w:r>
      <w:bookmarkEnd w:id="85"/>
    </w:p>
    <w:p w14:paraId="577BAD1B">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86" w:name="_Toc217446047"/>
      <w:r>
        <w:rPr>
          <w:rFonts w:hint="eastAsia" w:hAnsi="宋体" w:cs="宋体"/>
          <w:b w:val="0"/>
          <w:bCs/>
          <w:color w:val="auto"/>
          <w:highlight w:val="none"/>
        </w:rPr>
        <w:t>本项目不接受联合体投标。</w:t>
      </w:r>
    </w:p>
    <w:p w14:paraId="6F1A409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13. 知识产权</w:t>
      </w:r>
      <w:bookmarkEnd w:id="86"/>
      <w:r>
        <w:rPr>
          <w:rFonts w:hint="eastAsia" w:ascii="宋体" w:hAnsi="宋体"/>
          <w:b/>
          <w:bCs/>
          <w:color w:val="auto"/>
          <w:sz w:val="24"/>
          <w:highlight w:val="none"/>
          <w:lang w:eastAsia="zh-CN"/>
        </w:rPr>
        <w:t>（实质性要求）</w:t>
      </w:r>
    </w:p>
    <w:p w14:paraId="7371CD86">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164CA6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13.2 采购人享有本项目实施过程中产生的知识成果及知识产权。</w:t>
      </w:r>
    </w:p>
    <w:p w14:paraId="41CD16F2">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14:paraId="45645CC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 xml:space="preserve">13.4 如采用投标人所不拥有的知识产权，则在投标报价中必须包括合法获取该知识产权的相关费用。  </w:t>
      </w:r>
      <w:bookmarkStart w:id="87" w:name="_Toc183582217"/>
      <w:bookmarkStart w:id="88" w:name="_Toc217446048"/>
      <w:bookmarkStart w:id="89" w:name="_Toc183682354"/>
    </w:p>
    <w:p w14:paraId="32169C7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14．投标文件的组成</w:t>
      </w:r>
      <w:bookmarkEnd w:id="87"/>
      <w:bookmarkEnd w:id="88"/>
      <w:bookmarkEnd w:id="89"/>
    </w:p>
    <w:p w14:paraId="4227A70A">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投标人应按照招标文件的规定和要求编制投标文件。投标人拟在中标后将中标项目的非主体、非关键性工作交由他人完成的，应当在投标文件中载明。投标人编写的投标文件应包括下列部分：</w:t>
      </w:r>
    </w:p>
    <w:p w14:paraId="21A8026E">
      <w:pPr>
        <w:pStyle w:val="1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r>
        <w:rPr>
          <w:rFonts w:hint="eastAsia" w:hAnsi="宋体" w:cs="宋体"/>
          <w:b/>
          <w:bCs w:val="0"/>
          <w:color w:val="auto"/>
          <w:highlight w:val="none"/>
        </w:rPr>
        <w:t>14.1 报价部分。</w:t>
      </w:r>
      <w:r>
        <w:rPr>
          <w:rFonts w:hint="eastAsia" w:hAnsi="宋体" w:cs="宋体"/>
          <w:b w:val="0"/>
          <w:bCs/>
          <w:color w:val="auto"/>
          <w:highlight w:val="none"/>
        </w:rPr>
        <w:t>投标人按照招标文件要求填写的“开标一览表”及“报价明细表”。 本次招标报价要求：</w:t>
      </w:r>
    </w:p>
    <w:p w14:paraId="08A336B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（1）投标人的报价是投标人响应招标项目要求的全部工作内容的价格体现，包括投标人完成本项目所需的一切费用。（实质性要求）</w:t>
      </w:r>
    </w:p>
    <w:p w14:paraId="219D1E9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（2）投标人每种货物只允许有一个报价，并且在合同履行过程中是固定不变的，任何有选择或可调整的报价将不予接受，并按无效投标处理。（实质性要求）</w:t>
      </w:r>
    </w:p>
    <w:p w14:paraId="2D1B461D">
      <w:pPr>
        <w:pStyle w:val="1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bookmarkStart w:id="90" w:name="_Toc183682355"/>
      <w:bookmarkStart w:id="91" w:name="_Toc217446049"/>
      <w:bookmarkStart w:id="92" w:name="_Toc183582218"/>
      <w:bookmarkStart w:id="93" w:name="_Toc217446081"/>
      <w:r>
        <w:rPr>
          <w:rFonts w:hint="eastAsia" w:hAnsi="宋体" w:cs="宋体"/>
          <w:b/>
          <w:bCs w:val="0"/>
          <w:color w:val="auto"/>
          <w:highlight w:val="none"/>
        </w:rPr>
        <w:t>14.2 技术部分。</w:t>
      </w:r>
      <w:r>
        <w:rPr>
          <w:rFonts w:hint="eastAsia" w:hAnsi="宋体" w:cs="宋体"/>
          <w:b w:val="0"/>
          <w:bCs/>
          <w:color w:val="auto"/>
          <w:highlight w:val="none"/>
        </w:rPr>
        <w:t>投标人按照招标文件要求做出的技术应答，主要是针对招标项目的技术指标、参数和技术要求做出的响应和满足。投标人的技术应答应包括下列内容：</w:t>
      </w:r>
    </w:p>
    <w:p w14:paraId="4B37C5A7">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（1）投标产品的品牌、型号、配置；</w:t>
      </w:r>
    </w:p>
    <w:p w14:paraId="2930FF2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（2）投标产品本身的详细的技术指标和参数（应当尽可能提供检测报告、产品彩页资料或技术资料</w:t>
      </w:r>
      <w:r>
        <w:rPr>
          <w:rFonts w:hint="eastAsia" w:hAnsi="宋体" w:cs="宋体"/>
          <w:b w:val="0"/>
          <w:bCs/>
          <w:color w:val="auto"/>
          <w:highlight w:val="none"/>
          <w:lang w:eastAsia="zh-CN"/>
        </w:rPr>
        <w:t>、</w:t>
      </w:r>
      <w:r>
        <w:rPr>
          <w:rFonts w:hint="eastAsia" w:hAnsi="宋体" w:cs="宋体"/>
          <w:b w:val="0"/>
          <w:bCs/>
          <w:color w:val="auto"/>
          <w:highlight w:val="none"/>
        </w:rPr>
        <w:t>产品使用说明书、采购人手册等材料予以佐证）；</w:t>
      </w:r>
    </w:p>
    <w:p w14:paraId="708C873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（3）技术方案、项目实施方案；</w:t>
      </w:r>
    </w:p>
    <w:p w14:paraId="79AF17D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（4）投标产品技术配置参数表；</w:t>
      </w:r>
    </w:p>
    <w:p w14:paraId="1CDC2E6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（5）产品彩页资料或技术资料；</w:t>
      </w:r>
    </w:p>
    <w:p w14:paraId="32642162">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（6）产品工作环境条件；</w:t>
      </w:r>
    </w:p>
    <w:p w14:paraId="3177055D">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（7）产品验收标准和验收方法；</w:t>
      </w:r>
    </w:p>
    <w:p w14:paraId="0D6A69E6">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（8）产品验收清单（注明各部件的品名、数量、价格、规格型号和原产地或生产厂家）；</w:t>
      </w:r>
    </w:p>
    <w:p w14:paraId="50235DE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（9）投标人认为需要提供的其他文件和资料。</w:t>
      </w:r>
    </w:p>
    <w:p w14:paraId="447501B1">
      <w:pPr>
        <w:pStyle w:val="1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r>
        <w:rPr>
          <w:rFonts w:hint="eastAsia" w:hAnsi="宋体" w:cs="宋体"/>
          <w:b/>
          <w:bCs w:val="0"/>
          <w:color w:val="auto"/>
          <w:highlight w:val="none"/>
        </w:rPr>
        <w:t>14.3 商务部分。</w:t>
      </w:r>
      <w:r>
        <w:rPr>
          <w:rFonts w:hint="eastAsia" w:hAnsi="宋体" w:cs="宋体"/>
          <w:b w:val="0"/>
          <w:bCs/>
          <w:color w:val="auto"/>
          <w:highlight w:val="none"/>
        </w:rPr>
        <w:t>投标人按照招标文件要求提供的有关证明材料及优惠承诺。包括以下内容：</w:t>
      </w:r>
    </w:p>
    <w:p w14:paraId="1E6F814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（1）投标函；</w:t>
      </w:r>
    </w:p>
    <w:p w14:paraId="70621DF5">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（2）投标人应当提供的资格、资质性及其他类似效力要求的相关证明材料（详见第五章）；</w:t>
      </w:r>
    </w:p>
    <w:p w14:paraId="6F26BFA5">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（3）承诺函；</w:t>
      </w:r>
    </w:p>
    <w:p w14:paraId="31FFF54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（4）商务应答表；</w:t>
      </w:r>
    </w:p>
    <w:p w14:paraId="64DF506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（5）投标人承诺给予招标采购单位的各种优惠条件（优惠条件事项不能包括采购项</w:t>
      </w:r>
    </w:p>
    <w:p w14:paraId="35A880D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目本身所包含的采购事项。投标人不能以“赠送、赠予”等任何名义提供货物和服务以规避招标文件的约束。否则，投标人提供的投标文件将作为无效投标处理，即使中标也将取消中标资格）（实质性要求）；</w:t>
      </w:r>
    </w:p>
    <w:p w14:paraId="7112897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（6）证明投标人业绩和荣誉的有关材料复印件；</w:t>
      </w:r>
    </w:p>
    <w:p w14:paraId="5847DD1D">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（7）其他投标人认为需要提供的文件和资料。</w:t>
      </w:r>
    </w:p>
    <w:p w14:paraId="106944B7">
      <w:pPr>
        <w:pStyle w:val="1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r>
        <w:rPr>
          <w:rFonts w:hint="eastAsia" w:hAnsi="宋体" w:cs="宋体"/>
          <w:b/>
          <w:bCs w:val="0"/>
          <w:color w:val="auto"/>
          <w:highlight w:val="none"/>
        </w:rPr>
        <w:t>14.4售后服务。</w:t>
      </w:r>
      <w:r>
        <w:rPr>
          <w:rFonts w:hint="eastAsia" w:hAnsi="宋体" w:cs="宋体"/>
          <w:b w:val="0"/>
          <w:bCs/>
          <w:color w:val="auto"/>
          <w:highlight w:val="none"/>
        </w:rPr>
        <w:t xml:space="preserve">投标人按照招标文件中售后服务要求作出的积极响应和承诺。包括以下内容： </w:t>
      </w:r>
    </w:p>
    <w:p w14:paraId="7CC88AEC">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（1）产品制造厂家或投标人设立的售后服务机构网点清单、服务电话和维修人员名单；</w:t>
      </w:r>
    </w:p>
    <w:p w14:paraId="357DFFF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（2）说明投标产品的保修时间、保修期内的保修内容与范围、维修响应时间等。提供产品制造厂家</w:t>
      </w:r>
      <w:r>
        <w:rPr>
          <w:rFonts w:hint="eastAsia" w:hAnsi="宋体" w:cs="宋体"/>
          <w:b w:val="0"/>
          <w:bCs/>
          <w:color w:val="auto"/>
          <w:highlight w:val="none"/>
          <w:lang w:val="en-US" w:eastAsia="zh-CN"/>
        </w:rPr>
        <w:t>或</w:t>
      </w:r>
      <w:r>
        <w:rPr>
          <w:rFonts w:hint="eastAsia" w:hAnsi="宋体" w:cs="宋体"/>
          <w:b w:val="0"/>
          <w:bCs/>
          <w:color w:val="auto"/>
          <w:highlight w:val="none"/>
        </w:rPr>
        <w:t>投标人的服务承诺和保障措施；</w:t>
      </w:r>
    </w:p>
    <w:p w14:paraId="79BC6B27">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（3）培训措施：说明培训内容及培训的时间、地点、目标、培训人数、收费标准和办法；</w:t>
      </w:r>
    </w:p>
    <w:p w14:paraId="30F4721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（4）其他有利于用户的服务承诺。</w:t>
      </w:r>
    </w:p>
    <w:p w14:paraId="3D953D72">
      <w:pPr>
        <w:pStyle w:val="1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r>
        <w:rPr>
          <w:rFonts w:hint="eastAsia" w:hAnsi="宋体" w:cs="宋体"/>
          <w:b/>
          <w:bCs w:val="0"/>
          <w:color w:val="auto"/>
          <w:highlight w:val="none"/>
        </w:rPr>
        <w:t>14.5其他部分。</w:t>
      </w:r>
      <w:r>
        <w:rPr>
          <w:rFonts w:hint="eastAsia" w:hAnsi="宋体" w:cs="宋体"/>
          <w:b w:val="0"/>
          <w:bCs/>
          <w:color w:val="auto"/>
          <w:highlight w:val="none"/>
        </w:rPr>
        <w:t>投标人按照招标文件要求作出的其他应答和承诺。</w:t>
      </w:r>
    </w:p>
    <w:p w14:paraId="60D2FC7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15．投标文件格式</w:t>
      </w:r>
      <w:bookmarkEnd w:id="90"/>
      <w:bookmarkEnd w:id="91"/>
      <w:bookmarkEnd w:id="92"/>
    </w:p>
    <w:p w14:paraId="6E67192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94" w:name="_Toc217446050"/>
      <w:bookmarkStart w:id="95" w:name="_Toc183682360"/>
      <w:bookmarkStart w:id="96" w:name="_Toc183582223"/>
      <w:r>
        <w:rPr>
          <w:rFonts w:hint="eastAsia" w:hAnsi="宋体" w:cs="宋体"/>
          <w:b w:val="0"/>
          <w:bCs/>
          <w:color w:val="auto"/>
          <w:highlight w:val="none"/>
        </w:rPr>
        <w:t>15.1 投标人</w:t>
      </w:r>
      <w:r>
        <w:rPr>
          <w:rFonts w:hint="eastAsia" w:hAnsi="宋体" w:cs="宋体"/>
          <w:b w:val="0"/>
          <w:bCs/>
          <w:color w:val="auto"/>
          <w:highlight w:val="none"/>
          <w:lang w:val="en-US" w:eastAsia="zh-CN"/>
        </w:rPr>
        <w:t>可</w:t>
      </w:r>
      <w:r>
        <w:rPr>
          <w:rFonts w:hint="eastAsia" w:hAnsi="宋体" w:cs="宋体"/>
          <w:b w:val="0"/>
          <w:bCs/>
          <w:color w:val="auto"/>
          <w:highlight w:val="none"/>
        </w:rPr>
        <w:t>执行招标文件第三章的规定要求。</w:t>
      </w:r>
    </w:p>
    <w:p w14:paraId="12B6E74B">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15.2 对于没有格式要求的投标文件由投标人自行编写。</w:t>
      </w:r>
    </w:p>
    <w:p w14:paraId="72889A9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16．投标保证金</w:t>
      </w:r>
      <w:bookmarkEnd w:id="94"/>
      <w:bookmarkEnd w:id="95"/>
      <w:bookmarkEnd w:id="96"/>
      <w:r>
        <w:rPr>
          <w:rFonts w:hint="eastAsia" w:ascii="宋体" w:hAnsi="宋体"/>
          <w:b/>
          <w:bCs/>
          <w:color w:val="auto"/>
          <w:sz w:val="24"/>
          <w:highlight w:val="none"/>
          <w:lang w:eastAsia="zh-CN"/>
        </w:rPr>
        <w:t>（实质性要求）</w:t>
      </w:r>
    </w:p>
    <w:p w14:paraId="09BD3EA0">
      <w:pPr>
        <w:pStyle w:val="1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val="0"/>
          <w:color w:val="auto"/>
          <w:highlight w:val="none"/>
        </w:rPr>
      </w:pPr>
      <w:bookmarkStart w:id="97" w:name="_Toc217446051"/>
      <w:bookmarkStart w:id="98" w:name="_Toc183682361"/>
      <w:bookmarkStart w:id="99" w:name="_Toc183582224"/>
      <w:r>
        <w:rPr>
          <w:rFonts w:hint="eastAsia" w:hAnsi="宋体" w:cs="宋体"/>
          <w:b/>
          <w:bCs w:val="0"/>
          <w:color w:val="auto"/>
          <w:highlight w:val="none"/>
        </w:rPr>
        <w:t>本项目收取投标保证金。</w:t>
      </w:r>
    </w:p>
    <w:p w14:paraId="3DC2A90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17．投标有效期</w:t>
      </w:r>
      <w:bookmarkEnd w:id="97"/>
      <w:bookmarkEnd w:id="98"/>
      <w:bookmarkEnd w:id="99"/>
      <w:r>
        <w:rPr>
          <w:rFonts w:hint="eastAsia" w:ascii="宋体" w:hAnsi="宋体"/>
          <w:b/>
          <w:bCs/>
          <w:color w:val="auto"/>
          <w:sz w:val="24"/>
          <w:highlight w:val="none"/>
          <w:lang w:eastAsia="zh-CN"/>
        </w:rPr>
        <w:t>（实质性要求）</w:t>
      </w:r>
    </w:p>
    <w:p w14:paraId="27E2B96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17.1投标有效期见投标人须知前附表。投标人投标文件中必须载明投标有效期，投标文件中载明的投标有效期可以长于招标文件规定的期限，但不得短于招标文件规定的期限。否则，其投标文件将作为无效投标处理。</w:t>
      </w:r>
    </w:p>
    <w:p w14:paraId="48178B7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89F124B">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6F9B3E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00" w:name="_Toc183582225"/>
      <w:bookmarkStart w:id="101" w:name="_Toc217446052"/>
      <w:bookmarkStart w:id="102" w:name="_Toc183682362"/>
      <w:r>
        <w:rPr>
          <w:rFonts w:hint="eastAsia" w:ascii="宋体" w:hAnsi="宋体"/>
          <w:b/>
          <w:bCs/>
          <w:color w:val="auto"/>
          <w:sz w:val="24"/>
          <w:highlight w:val="none"/>
          <w:lang w:eastAsia="zh-CN"/>
        </w:rPr>
        <w:t>18．投标文件的</w:t>
      </w:r>
      <w:bookmarkEnd w:id="100"/>
      <w:bookmarkEnd w:id="101"/>
      <w:bookmarkEnd w:id="102"/>
      <w:r>
        <w:rPr>
          <w:rFonts w:hint="eastAsia" w:ascii="宋体" w:hAnsi="宋体" w:eastAsia="宋体" w:cs="宋体"/>
          <w:b/>
          <w:color w:val="000000"/>
          <w:sz w:val="24"/>
          <w:highlight w:val="none"/>
        </w:rPr>
        <w:t>编制和签署</w:t>
      </w:r>
    </w:p>
    <w:p w14:paraId="09A3C505">
      <w:pPr>
        <w:keepLines w:val="0"/>
        <w:pageBreakBefore w:val="0"/>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lang w:val="en-US" w:eastAsia="zh-CN"/>
        </w:rPr>
      </w:pPr>
      <w:r>
        <w:rPr>
          <w:rFonts w:hint="eastAsia" w:hAnsi="宋体" w:cs="宋体"/>
          <w:b w:val="0"/>
          <w:bCs/>
          <w:color w:val="auto"/>
          <w:highlight w:val="none"/>
        </w:rPr>
        <w:t>18.1 投标人应当准备投标文件</w:t>
      </w:r>
      <w:r>
        <w:rPr>
          <w:rFonts w:hint="eastAsia" w:hAnsi="宋体" w:cs="宋体"/>
          <w:b w:val="0"/>
          <w:bCs/>
          <w:color w:val="auto"/>
          <w:highlight w:val="none"/>
          <w:lang w:val="en-US" w:eastAsia="zh-CN"/>
        </w:rPr>
        <w:t>电子版1份</w:t>
      </w:r>
      <w:bookmarkStart w:id="103" w:name="_Toc22907"/>
      <w:bookmarkStart w:id="104" w:name="_Toc22945"/>
      <w:bookmarkStart w:id="105" w:name="_Toc183682377"/>
      <w:bookmarkStart w:id="106" w:name="_Toc217446065"/>
      <w:bookmarkStart w:id="107" w:name="_Toc183582240"/>
      <w:r>
        <w:rPr>
          <w:rFonts w:hint="eastAsia" w:hAnsi="宋体" w:cs="宋体"/>
          <w:b w:val="0"/>
          <w:bCs/>
          <w:color w:val="auto"/>
          <w:highlight w:val="none"/>
          <w:lang w:val="en-US" w:eastAsia="zh-CN"/>
        </w:rPr>
        <w:t>，</w:t>
      </w:r>
      <w:r>
        <w:rPr>
          <w:rFonts w:hint="eastAsia" w:ascii="宋体" w:hAnsi="宋体" w:cs="宋体"/>
          <w:b w:val="0"/>
          <w:bCs w:val="0"/>
          <w:color w:val="auto"/>
          <w:highlight w:val="none"/>
          <w:lang w:val="en-US" w:eastAsia="zh-CN"/>
        </w:rPr>
        <w:t>投标文件按招标文件要求的格式进行制作、签字盖章扫描并上传。投标人应使用CA证书（或电子密码）对投标文件进行加密。（平台采用的CA证书（或电子密码）是经国家权威机构认可的具备多种加密及安全认证的解决方案，投标文件一经加密后只有加密时使用的同一把CA（或电子密码）或投标人制作电子投标文件时自行填写的密码才可以有效解密，因此请投标人有效保管CA证书（或电子密码），如因CA证书（或电子密码）及投标人制作电子投标文件时自行填写的密码丢失导致投标人无法解密的情况，责任由投标人负责）</w:t>
      </w:r>
    </w:p>
    <w:p w14:paraId="496B7CC3">
      <w:pPr>
        <w:keepLines w:val="0"/>
        <w:pageBreakBefore w:val="0"/>
        <w:kinsoku/>
        <w:wordWrap/>
        <w:overflowPunct/>
        <w:topLinePunct w:val="0"/>
        <w:autoSpaceDE/>
        <w:autoSpaceDN/>
        <w:bidi w:val="0"/>
        <w:adjustRightInd w:val="0"/>
        <w:snapToGrid w:val="0"/>
        <w:spacing w:line="480" w:lineRule="exact"/>
        <w:ind w:firstLine="482" w:firstLineChars="200"/>
        <w:rPr>
          <w:rFonts w:hint="eastAsia" w:ascii="宋体" w:hAnsi="宋体" w:cs="宋体"/>
          <w:b/>
          <w:bCs/>
          <w:color w:val="auto"/>
          <w:sz w:val="24"/>
          <w:szCs w:val="24"/>
          <w:highlight w:val="none"/>
          <w:lang w:val="en-US" w:eastAsia="zh-CN"/>
        </w:rPr>
      </w:pPr>
      <w:bookmarkStart w:id="108" w:name="_Hlt101255290"/>
      <w:bookmarkEnd w:id="108"/>
      <w:bookmarkStart w:id="109" w:name="_Hlt101255326"/>
      <w:bookmarkEnd w:id="109"/>
      <w:bookmarkStart w:id="110" w:name="_Hlt101255256"/>
      <w:bookmarkEnd w:id="110"/>
      <w:bookmarkStart w:id="111" w:name="_Toc89075877"/>
      <w:bookmarkStart w:id="112" w:name="_Toc183582226"/>
      <w:bookmarkStart w:id="113" w:name="_Toc183682363"/>
      <w:bookmarkStart w:id="114" w:name="_Toc217446053"/>
      <w:bookmarkStart w:id="115" w:name="_Toc77400781"/>
      <w:r>
        <w:rPr>
          <w:rFonts w:hint="eastAsia" w:ascii="宋体" w:hAnsi="宋体" w:cs="宋体"/>
          <w:b/>
          <w:bCs/>
          <w:color w:val="auto"/>
          <w:sz w:val="24"/>
          <w:szCs w:val="24"/>
          <w:highlight w:val="none"/>
          <w:lang w:val="en-US" w:eastAsia="zh-CN"/>
        </w:rPr>
        <w:t>19.</w:t>
      </w:r>
      <w:r>
        <w:rPr>
          <w:rFonts w:hint="eastAsia" w:ascii="宋体" w:hAnsi="宋体" w:cs="宋体"/>
          <w:b/>
          <w:bCs/>
          <w:color w:val="auto"/>
          <w:sz w:val="24"/>
          <w:szCs w:val="24"/>
          <w:highlight w:val="none"/>
          <w:lang w:eastAsia="zh-CN"/>
        </w:rPr>
        <w:t>投标文件的</w:t>
      </w:r>
      <w:r>
        <w:rPr>
          <w:rFonts w:hint="eastAsia" w:ascii="宋体" w:hAnsi="宋体" w:cs="宋体"/>
          <w:b/>
          <w:bCs/>
          <w:color w:val="auto"/>
          <w:sz w:val="24"/>
          <w:szCs w:val="24"/>
          <w:highlight w:val="none"/>
          <w:lang w:val="en-US" w:eastAsia="zh-CN"/>
        </w:rPr>
        <w:t>上传</w:t>
      </w:r>
    </w:p>
    <w:p w14:paraId="209B68B5">
      <w:pPr>
        <w:keepNext w:val="0"/>
        <w:keepLines w:val="0"/>
        <w:pageBreakBefore w:val="0"/>
        <w:widowControl/>
        <w:tabs>
          <w:tab w:val="left" w:pos="1080"/>
        </w:tabs>
        <w:kinsoku/>
        <w:wordWrap w:val="0"/>
        <w:overflowPunct/>
        <w:topLinePunct w:val="0"/>
        <w:autoSpaceDE/>
        <w:autoSpaceDN/>
        <w:bidi w:val="0"/>
        <w:adjustRightInd/>
        <w:snapToGrid/>
        <w:spacing w:line="480" w:lineRule="exact"/>
        <w:ind w:firstLine="480" w:firstLineChars="200"/>
        <w:textAlignment w:val="auto"/>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应按照</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格式制作</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，并制作成不可更改的PDF格式文件(PDF文件需</w:t>
      </w:r>
      <w:r>
        <w:rPr>
          <w:rFonts w:hint="eastAsia" w:ascii="宋体" w:hAnsi="宋体" w:cs="宋体"/>
          <w:b w:val="0"/>
          <w:bCs w:val="0"/>
          <w:color w:val="auto"/>
          <w:highlight w:val="none"/>
          <w:lang w:eastAsia="zh-CN"/>
        </w:rPr>
        <w:t>加盖投标人鲜章或电子章</w:t>
      </w:r>
      <w:r>
        <w:rPr>
          <w:rFonts w:hint="eastAsia" w:ascii="宋体" w:hAnsi="宋体" w:cs="宋体"/>
          <w:b w:val="0"/>
          <w:bCs w:val="0"/>
          <w:color w:val="auto"/>
          <w:highlight w:val="none"/>
        </w:rPr>
        <w:t>：可打印盖章并扫描成PDF文件，或者直接通过联采招汇电子招标平台申请电子印章并在制作加密</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时直接进行电子盖章)。将制作好的PDF</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导入客户端（下载地址：</w:t>
      </w:r>
      <w:r>
        <w:rPr>
          <w:rFonts w:hint="eastAsia" w:ascii="宋体" w:hAnsi="宋体" w:cs="宋体"/>
          <w:b w:val="0"/>
          <w:bCs w:val="0"/>
          <w:color w:val="auto"/>
          <w:highlight w:val="none"/>
        </w:rPr>
        <w:fldChar w:fldCharType="begin"/>
      </w:r>
      <w:r>
        <w:rPr>
          <w:rFonts w:hint="eastAsia" w:ascii="宋体" w:hAnsi="宋体" w:cs="宋体"/>
          <w:b w:val="0"/>
          <w:bCs w:val="0"/>
          <w:color w:val="auto"/>
          <w:highlight w:val="none"/>
        </w:rPr>
        <w:instrText xml:space="preserve"> HYPERLINK "http://www.cdgusheng.com/cms/page-bid-client-download.html" </w:instrText>
      </w:r>
      <w:r>
        <w:rPr>
          <w:rFonts w:hint="eastAsia" w:ascii="宋体" w:hAnsi="宋体" w:cs="宋体"/>
          <w:b w:val="0"/>
          <w:bCs w:val="0"/>
          <w:color w:val="auto"/>
          <w:highlight w:val="none"/>
        </w:rPr>
        <w:fldChar w:fldCharType="separate"/>
      </w:r>
      <w:r>
        <w:rPr>
          <w:rFonts w:hint="eastAsia" w:ascii="宋体" w:hAnsi="宋体" w:cs="宋体"/>
          <w:b w:val="0"/>
          <w:bCs w:val="0"/>
          <w:color w:val="auto"/>
          <w:highlight w:val="none"/>
        </w:rPr>
        <w:t>http://www.cdgusheng.com/cms/page-bid-client-download.html</w:t>
      </w:r>
      <w:r>
        <w:rPr>
          <w:rFonts w:hint="eastAsia" w:ascii="宋体" w:hAnsi="宋体" w:cs="宋体"/>
          <w:b w:val="0"/>
          <w:bCs w:val="0"/>
          <w:color w:val="auto"/>
          <w:highlight w:val="none"/>
        </w:rPr>
        <w:fldChar w:fldCharType="end"/>
      </w:r>
      <w:r>
        <w:rPr>
          <w:rFonts w:hint="eastAsia" w:ascii="宋体" w:hAnsi="宋体" w:cs="宋体"/>
          <w:b w:val="0"/>
          <w:bCs w:val="0"/>
          <w:color w:val="auto"/>
          <w:highlight w:val="none"/>
        </w:rPr>
        <w:t>）制作加密的电子</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（.bfl后缀的文件）、上传递交至平台。（考虑到现行国家实际的网络速率及</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所处区域网络的情况，为节约</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上传的时间，建议商务分册、技术分册、价格分册各部分文件的大小请</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尽量控制在每部分100MB以内，整份文件控制在120MB以内）。</w:t>
      </w:r>
    </w:p>
    <w:p w14:paraId="41906DAA">
      <w:pPr>
        <w:keepLines w:val="0"/>
        <w:pageBreakBefore w:val="0"/>
        <w:tabs>
          <w:tab w:val="left" w:pos="108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2.对excel表格等不可编辑成PDF的材料，若</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需制作成为</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的一部分，可以附件形式上传至客户端进行加密。</w:t>
      </w:r>
    </w:p>
    <w:p w14:paraId="379B1A0C">
      <w:pPr>
        <w:keepLines w:val="0"/>
        <w:pageBreakBefore w:val="0"/>
        <w:tabs>
          <w:tab w:val="left" w:pos="108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3.</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联采招汇电子招标平台上上传、递交电子</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时，应注意</w:t>
      </w:r>
    </w:p>
    <w:p w14:paraId="2B69C45C">
      <w:pPr>
        <w:keepLines w:val="0"/>
        <w:pageBreakBefore w:val="0"/>
        <w:tabs>
          <w:tab w:val="left" w:pos="108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应在上传后查看提交结果，了解和确认电子</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的提交状态；上传成功后，可通过“模拟解密”验证能否正常解密。</w:t>
      </w:r>
    </w:p>
    <w:p w14:paraId="23BEE359">
      <w:pPr>
        <w:keepLines w:val="0"/>
        <w:pageBreakBefore w:val="0"/>
        <w:tabs>
          <w:tab w:val="left" w:pos="108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（2）对于电子投标操作不熟悉或自身电脑、网络的原因导致未在投标截止时间之前上传</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的，招标代理机构不负任何责任。建议</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尽量在投标截止时间前48小时执行上传</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操作，在投标截止时间前一天确保</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上传成功，在上传文件时如遇到问题需要协助可联系平台服务人员。</w:t>
      </w:r>
    </w:p>
    <w:p w14:paraId="5502E2ED">
      <w:pPr>
        <w:keepLines w:val="0"/>
        <w:pageBreakBefore w:val="0"/>
        <w:tabs>
          <w:tab w:val="left" w:pos="108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p>
    <w:p w14:paraId="04E4BF34">
      <w:pPr>
        <w:keepLines w:val="0"/>
        <w:pageBreakBefore w:val="0"/>
        <w:tabs>
          <w:tab w:val="left" w:pos="1080"/>
        </w:tabs>
        <w:kinsoku/>
        <w:wordWrap/>
        <w:overflowPunct/>
        <w:topLinePunct w:val="0"/>
        <w:autoSpaceDE/>
        <w:autoSpaceDN/>
        <w:bidi w:val="0"/>
        <w:spacing w:line="480" w:lineRule="exact"/>
        <w:ind w:firstLine="482" w:firstLineChars="200"/>
        <w:rPr>
          <w:rFonts w:hint="eastAsia" w:ascii="宋体" w:hAnsi="宋体" w:cs="宋体"/>
          <w:b/>
          <w:bCs/>
          <w:color w:val="auto"/>
          <w:highlight w:val="none"/>
        </w:rPr>
      </w:pPr>
      <w:r>
        <w:rPr>
          <w:rFonts w:hint="eastAsia" w:ascii="宋体" w:hAnsi="宋体" w:cs="宋体"/>
          <w:b/>
          <w:bCs/>
          <w:color w:val="auto"/>
          <w:highlight w:val="none"/>
          <w:lang w:val="en-US" w:eastAsia="zh-CN"/>
        </w:rPr>
        <w:t>20.投标文件的解密</w:t>
      </w:r>
    </w:p>
    <w:p w14:paraId="7B5969D9">
      <w:pPr>
        <w:keepLines w:val="0"/>
        <w:pageBreakBefore w:val="0"/>
        <w:tabs>
          <w:tab w:val="left" w:pos="108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val="en-US" w:eastAsia="zh-CN"/>
        </w:rPr>
        <w:t>开标时间到达后，</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lang w:val="en-US" w:eastAsia="zh-CN"/>
        </w:rPr>
        <w:t>应按平台中代理机构设定的解密时间内解密，逾期不解密的，按无效投标处理</w:t>
      </w:r>
      <w:r>
        <w:rPr>
          <w:rFonts w:hint="eastAsia" w:ascii="宋体" w:hAnsi="宋体" w:cs="宋体"/>
          <w:b w:val="0"/>
          <w:bCs w:val="0"/>
          <w:color w:val="auto"/>
          <w:highlight w:val="none"/>
        </w:rPr>
        <w:t>。</w:t>
      </w:r>
    </w:p>
    <w:p w14:paraId="761C6543">
      <w:pPr>
        <w:keepLines w:val="0"/>
        <w:pageBreakBefore w:val="0"/>
        <w:tabs>
          <w:tab w:val="left" w:pos="108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p>
    <w:bookmarkEnd w:id="111"/>
    <w:bookmarkEnd w:id="112"/>
    <w:bookmarkEnd w:id="113"/>
    <w:bookmarkEnd w:id="114"/>
    <w:bookmarkEnd w:id="115"/>
    <w:p w14:paraId="6CBFA3FB">
      <w:pPr>
        <w:keepLines w:val="0"/>
        <w:pageBreakBefore w:val="0"/>
        <w:kinsoku/>
        <w:wordWrap/>
        <w:overflowPunct/>
        <w:topLinePunct w:val="0"/>
        <w:autoSpaceDE/>
        <w:autoSpaceDN/>
        <w:bidi w:val="0"/>
        <w:adjustRightInd w:val="0"/>
        <w:snapToGrid w:val="0"/>
        <w:spacing w:line="480" w:lineRule="exact"/>
        <w:ind w:firstLine="482" w:firstLineChars="200"/>
        <w:rPr>
          <w:rFonts w:hint="eastAsia" w:ascii="宋体" w:hAnsi="宋体" w:cs="宋体"/>
          <w:b/>
          <w:bCs/>
          <w:color w:val="auto"/>
          <w:highlight w:val="none"/>
        </w:rPr>
      </w:pPr>
      <w:bookmarkStart w:id="116" w:name="_Toc183682365"/>
      <w:bookmarkStart w:id="117" w:name="_Toc183582228"/>
      <w:bookmarkStart w:id="118" w:name="_Toc217446055"/>
      <w:r>
        <w:rPr>
          <w:rFonts w:hint="eastAsia" w:ascii="宋体" w:hAnsi="宋体" w:cs="宋体"/>
          <w:b/>
          <w:bCs/>
          <w:color w:val="auto"/>
          <w:highlight w:val="none"/>
          <w:lang w:val="en-US" w:eastAsia="zh-CN"/>
        </w:rPr>
        <w:t>21.</w:t>
      </w:r>
      <w:r>
        <w:rPr>
          <w:rFonts w:hint="eastAsia" w:ascii="宋体" w:hAnsi="宋体" w:cs="宋体"/>
          <w:b/>
          <w:bCs/>
          <w:color w:val="auto"/>
          <w:highlight w:val="none"/>
          <w:lang w:eastAsia="zh-CN"/>
        </w:rPr>
        <w:t>投标文件</w:t>
      </w:r>
      <w:r>
        <w:rPr>
          <w:rFonts w:hint="eastAsia" w:ascii="宋体" w:hAnsi="宋体" w:cs="宋体"/>
          <w:b/>
          <w:bCs/>
          <w:color w:val="auto"/>
          <w:highlight w:val="none"/>
        </w:rPr>
        <w:t>中报价如果出现下列不一致的，可按以下原则进行修改：</w:t>
      </w:r>
    </w:p>
    <w:p w14:paraId="0BA5E9C0">
      <w:pPr>
        <w:keepLines w:val="0"/>
        <w:pageBreakBefore w:val="0"/>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lang w:val="en-US" w:eastAsia="zh-CN"/>
        </w:rPr>
        <w:t>1.</w:t>
      </w:r>
      <w:r>
        <w:rPr>
          <w:rFonts w:hint="eastAsia" w:ascii="宋体" w:hAnsi="宋体" w:cs="宋体"/>
          <w:b w:val="0"/>
          <w:bCs w:val="0"/>
          <w:color w:val="auto"/>
          <w:highlight w:val="none"/>
        </w:rPr>
        <w:t>大写金额和小写金额不一致的，以大写金额为准，但大写金额文字存在错误的，应当先对大写金额的文字错误进行澄清、说明或者更正，再行修正。</w:t>
      </w:r>
    </w:p>
    <w:p w14:paraId="52F850C2">
      <w:pPr>
        <w:keepLines w:val="0"/>
        <w:pageBreakBefore w:val="0"/>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cs="宋体"/>
          <w:b w:val="0"/>
          <w:bCs w:val="0"/>
          <w:color w:val="auto"/>
          <w:highlight w:val="none"/>
        </w:rPr>
        <w:t>总价金额与按单价汇总金额不一致的，以单价金额计算结果为准，但单价或者单价汇总金额存在数字或者文字错误的，应当先对数字或者文字错误进行澄清、说明或者更正，再行修正。</w:t>
      </w:r>
    </w:p>
    <w:p w14:paraId="78D66F4D">
      <w:pPr>
        <w:keepLines w:val="0"/>
        <w:pageBreakBefore w:val="0"/>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lang w:val="en-US" w:eastAsia="zh-CN"/>
        </w:rPr>
        <w:t>3.</w:t>
      </w:r>
      <w:r>
        <w:rPr>
          <w:rFonts w:hint="eastAsia" w:ascii="宋体" w:hAnsi="宋体" w:cs="宋体"/>
          <w:b w:val="0"/>
          <w:bCs w:val="0"/>
          <w:color w:val="auto"/>
          <w:highlight w:val="none"/>
        </w:rPr>
        <w:t>单价金额小数点或者百分比有明显错位的，以总价为准，修正单价。</w:t>
      </w:r>
    </w:p>
    <w:p w14:paraId="000F235D">
      <w:pPr>
        <w:keepLines w:val="0"/>
        <w:pageBreakBefore w:val="0"/>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同时出现两种以上不一致的，按照上述规定的顺序修正。修正后的报价经</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确认后产生约束力，</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不确认的，其</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作为无效处理。</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确认采取书面且加盖单位公章或者</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授权代表签字的方式。</w:t>
      </w:r>
    </w:p>
    <w:p w14:paraId="4F4D2912">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val="0"/>
          <w:color w:val="auto"/>
          <w:highlight w:val="none"/>
        </w:rPr>
      </w:pPr>
      <w:r>
        <w:rPr>
          <w:rFonts w:hint="eastAsia" w:ascii="宋体" w:hAnsi="宋体" w:cs="宋体"/>
          <w:b w:val="0"/>
          <w:bCs w:val="0"/>
          <w:color w:val="auto"/>
          <w:highlight w:val="none"/>
          <w:lang w:val="en-US" w:eastAsia="zh-CN"/>
        </w:rPr>
        <w:t>4.</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对其提交的</w:t>
      </w:r>
      <w:r>
        <w:rPr>
          <w:rFonts w:hint="eastAsia" w:ascii="宋体" w:hAnsi="宋体" w:cs="宋体"/>
          <w:b w:val="0"/>
          <w:bCs w:val="0"/>
          <w:color w:val="auto"/>
          <w:highlight w:val="none"/>
          <w:lang w:eastAsia="zh-CN"/>
        </w:rPr>
        <w:t>投标文件</w:t>
      </w:r>
      <w:r>
        <w:rPr>
          <w:rFonts w:hint="eastAsia" w:ascii="宋体" w:hAnsi="宋体" w:cs="宋体"/>
          <w:b w:val="0"/>
          <w:bCs w:val="0"/>
          <w:color w:val="auto"/>
          <w:highlight w:val="none"/>
        </w:rPr>
        <w:t>的真实性、合法性承担法律责任。</w:t>
      </w:r>
      <w:bookmarkEnd w:id="116"/>
      <w:bookmarkEnd w:id="117"/>
      <w:bookmarkEnd w:id="118"/>
    </w:p>
    <w:p w14:paraId="2D90F8ED">
      <w:pPr>
        <w:pStyle w:val="3"/>
        <w:keepLines w:val="0"/>
        <w:pageBreakBefore w:val="0"/>
        <w:kinsoku/>
        <w:overflowPunct/>
        <w:bidi w:val="0"/>
        <w:spacing w:line="360" w:lineRule="auto"/>
        <w:rPr>
          <w:rFonts w:hint="eastAsia"/>
          <w:color w:val="auto"/>
          <w:highlight w:val="none"/>
        </w:rPr>
      </w:pPr>
      <w:r>
        <w:rPr>
          <w:rFonts w:hint="eastAsia"/>
          <w:color w:val="auto"/>
          <w:highlight w:val="none"/>
        </w:rPr>
        <w:t>五、开标和中标</w:t>
      </w:r>
      <w:bookmarkEnd w:id="103"/>
      <w:bookmarkEnd w:id="104"/>
    </w:p>
    <w:p w14:paraId="0CD422C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19" w:name="_Toc217446057"/>
      <w:bookmarkStart w:id="120" w:name="_Toc183682369"/>
      <w:bookmarkStart w:id="121" w:name="_Toc183582232"/>
      <w:r>
        <w:rPr>
          <w:rFonts w:hint="eastAsia" w:ascii="宋体" w:hAnsi="宋体"/>
          <w:b/>
          <w:bCs/>
          <w:color w:val="auto"/>
          <w:sz w:val="24"/>
          <w:highlight w:val="none"/>
          <w:lang w:eastAsia="zh-CN"/>
        </w:rPr>
        <w:t>22．开标</w:t>
      </w:r>
      <w:bookmarkEnd w:id="119"/>
      <w:bookmarkEnd w:id="120"/>
      <w:bookmarkEnd w:id="121"/>
    </w:p>
    <w:p w14:paraId="122F31D3">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122" w:name="_Toc217446058"/>
      <w:r>
        <w:rPr>
          <w:rFonts w:hint="eastAsia" w:hAnsi="宋体" w:cs="宋体"/>
          <w:b w:val="0"/>
          <w:bCs/>
          <w:color w:val="auto"/>
          <w:highlight w:val="none"/>
        </w:rPr>
        <w:t>22.1 开标在</w:t>
      </w:r>
      <w:r>
        <w:rPr>
          <w:rFonts w:hint="eastAsia" w:ascii="宋体" w:hAnsi="宋体" w:eastAsia="宋体" w:cs="宋体"/>
          <w:b w:val="0"/>
          <w:bCs/>
          <w:color w:val="000000"/>
          <w:sz w:val="24"/>
          <w:szCs w:val="28"/>
          <w:highlight w:val="none"/>
          <w:lang w:val="en-US" w:eastAsia="zh-CN"/>
        </w:rPr>
        <w:t>“四川联采招汇电子招标采购平台”(网址:http://www.sclczb.cn/)</w:t>
      </w:r>
      <w:r>
        <w:rPr>
          <w:rFonts w:hint="eastAsia" w:hAnsi="宋体" w:cs="宋体"/>
          <w:b w:val="0"/>
          <w:bCs/>
          <w:color w:val="auto"/>
          <w:highlight w:val="none"/>
        </w:rPr>
        <w:t>公开进行，投标人须</w:t>
      </w:r>
      <w:r>
        <w:rPr>
          <w:rFonts w:hint="eastAsia" w:hAnsi="宋体" w:cs="宋体"/>
          <w:b w:val="0"/>
          <w:bCs/>
          <w:color w:val="auto"/>
          <w:highlight w:val="none"/>
          <w:lang w:val="en-US" w:eastAsia="zh-CN"/>
        </w:rPr>
        <w:t>按招标文件要求的时间</w:t>
      </w:r>
      <w:r>
        <w:rPr>
          <w:rFonts w:hint="eastAsia" w:hAnsi="宋体" w:cs="宋体"/>
          <w:b w:val="0"/>
          <w:bCs/>
          <w:color w:val="auto"/>
          <w:highlight w:val="none"/>
        </w:rPr>
        <w:t>。开标由采购代理机构主持，投标人代表参加。评标专家不参加开标活动。</w:t>
      </w:r>
    </w:p>
    <w:p w14:paraId="35FDF0D3">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22.2 开标时，可能根据具体情况邀请有关监督管理部门对开标活动进行现场监督。</w:t>
      </w:r>
    </w:p>
    <w:p w14:paraId="2413BD9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22.3 开标时，由</w:t>
      </w:r>
      <w:r>
        <w:rPr>
          <w:rFonts w:hint="eastAsia" w:ascii="宋体" w:hAnsi="宋体" w:eastAsia="宋体" w:cs="宋体"/>
          <w:b w:val="0"/>
          <w:bCs/>
          <w:color w:val="000000"/>
          <w:sz w:val="24"/>
          <w:szCs w:val="28"/>
          <w:highlight w:val="none"/>
          <w:lang w:val="en-US" w:eastAsia="zh-CN"/>
        </w:rPr>
        <w:t>“四川联采招汇电子招标采购平台”系统统一公式</w:t>
      </w:r>
      <w:r>
        <w:rPr>
          <w:rFonts w:hint="eastAsia" w:hAnsi="宋体" w:cs="宋体"/>
          <w:b w:val="0"/>
          <w:bCs/>
          <w:color w:val="auto"/>
          <w:highlight w:val="none"/>
        </w:rPr>
        <w:t>“开标一览表”。</w:t>
      </w:r>
    </w:p>
    <w:p w14:paraId="1AE8D697">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22.4 投标文件报价出现前后不一致的，按照下列规定修正：</w:t>
      </w:r>
    </w:p>
    <w:p w14:paraId="41336343">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（1）开标一览表（报价表）内容与投标文件中相应内容不一致的，以开标一览表（报价表）为准；</w:t>
      </w:r>
    </w:p>
    <w:p w14:paraId="1F63A2F3">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（2）大写金额与小写金额不一致的，以大写金额为准；</w:t>
      </w:r>
    </w:p>
    <w:p w14:paraId="4833457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（3）单价金额小数点或者百分比有明显错位的，以开标一览表的总价为准，并修改单价；</w:t>
      </w:r>
    </w:p>
    <w:p w14:paraId="5685F83C">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（4）总价金额与按单价汇总金额不一致的，以单价金额计算结果为准。</w:t>
      </w:r>
    </w:p>
    <w:p w14:paraId="11996DD0">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同时出现两种以上不一致的，按照前款规定的顺序修正。修正后的报价经投标人确认后产生约束力，投标人不确认的，其投标无效。</w:t>
      </w:r>
    </w:p>
    <w:p w14:paraId="1B3A346F">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22.5 所有投标</w:t>
      </w:r>
      <w:r>
        <w:rPr>
          <w:rFonts w:hint="eastAsia" w:hAnsi="宋体" w:cs="宋体"/>
          <w:b w:val="0"/>
          <w:bCs/>
          <w:color w:val="auto"/>
          <w:highlight w:val="none"/>
          <w:lang w:val="en-US" w:eastAsia="zh-CN"/>
        </w:rPr>
        <w:t>公示</w:t>
      </w:r>
      <w:r>
        <w:rPr>
          <w:rFonts w:hint="eastAsia" w:hAnsi="宋体" w:cs="宋体"/>
          <w:b w:val="0"/>
          <w:bCs/>
          <w:color w:val="auto"/>
          <w:highlight w:val="none"/>
        </w:rPr>
        <w:t>完毕，如投标人代表对</w:t>
      </w:r>
      <w:r>
        <w:rPr>
          <w:rFonts w:hint="eastAsia" w:hAnsi="宋体" w:cs="宋体"/>
          <w:b w:val="0"/>
          <w:bCs/>
          <w:color w:val="auto"/>
          <w:highlight w:val="none"/>
          <w:lang w:val="en-US" w:eastAsia="zh-CN"/>
        </w:rPr>
        <w:t>公示</w:t>
      </w:r>
      <w:r>
        <w:rPr>
          <w:rFonts w:hint="eastAsia" w:hAnsi="宋体" w:cs="宋体"/>
          <w:b w:val="0"/>
          <w:bCs/>
          <w:color w:val="auto"/>
          <w:highlight w:val="none"/>
        </w:rPr>
        <w:t>的“开标一览表”上的内容有异议的，应当场提出。如确实属于</w:t>
      </w:r>
      <w:r>
        <w:rPr>
          <w:rFonts w:hint="eastAsia" w:hAnsi="宋体" w:cs="宋体"/>
          <w:b w:val="0"/>
          <w:bCs/>
          <w:color w:val="auto"/>
          <w:highlight w:val="none"/>
          <w:lang w:val="en-US" w:eastAsia="zh-CN"/>
        </w:rPr>
        <w:t>系统错误的</w:t>
      </w:r>
      <w:r>
        <w:rPr>
          <w:rFonts w:hint="eastAsia" w:hAnsi="宋体" w:cs="宋体"/>
          <w:b w:val="0"/>
          <w:bCs/>
          <w:color w:val="auto"/>
          <w:highlight w:val="none"/>
        </w:rPr>
        <w:t>，经现场监督人员核实后，当场予以更正。</w:t>
      </w:r>
    </w:p>
    <w:p w14:paraId="1DB97DC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22.6 开标时属于下列情况之一的，将作为无效投标处理:</w:t>
      </w:r>
    </w:p>
    <w:p w14:paraId="724475D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w:t>
      </w:r>
      <w:r>
        <w:rPr>
          <w:rFonts w:hint="eastAsia" w:hAnsi="宋体" w:cs="宋体"/>
          <w:b w:val="0"/>
          <w:bCs/>
          <w:color w:val="auto"/>
          <w:highlight w:val="none"/>
          <w:lang w:eastAsia="zh-CN"/>
        </w:rPr>
        <w:t>投标文件</w:t>
      </w:r>
      <w:r>
        <w:rPr>
          <w:rFonts w:hint="eastAsia" w:hAnsi="宋体" w:cs="宋体"/>
          <w:b w:val="0"/>
          <w:bCs/>
          <w:color w:val="auto"/>
          <w:highlight w:val="none"/>
        </w:rPr>
        <w:t>未</w:t>
      </w:r>
      <w:r>
        <w:rPr>
          <w:rFonts w:hint="eastAsia" w:hAnsi="宋体" w:cs="宋体"/>
          <w:b w:val="0"/>
          <w:bCs/>
          <w:color w:val="auto"/>
          <w:highlight w:val="none"/>
          <w:lang w:val="en-US" w:eastAsia="zh-CN"/>
        </w:rPr>
        <w:t>按要求加密上传并在规定时间内解密</w:t>
      </w:r>
      <w:r>
        <w:rPr>
          <w:rFonts w:hint="eastAsia" w:hAnsi="宋体" w:cs="宋体"/>
          <w:b w:val="0"/>
          <w:bCs/>
          <w:color w:val="auto"/>
          <w:highlight w:val="none"/>
        </w:rPr>
        <w:t>；</w:t>
      </w:r>
    </w:p>
    <w:p w14:paraId="5956BD37">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（2）未经法定代表人签字或未盖</w:t>
      </w:r>
      <w:r>
        <w:rPr>
          <w:rFonts w:hint="eastAsia" w:hAnsi="宋体" w:cs="宋体"/>
          <w:b w:val="0"/>
          <w:bCs/>
          <w:color w:val="auto"/>
          <w:highlight w:val="none"/>
          <w:lang w:eastAsia="zh-CN"/>
        </w:rPr>
        <w:t>投标人</w:t>
      </w:r>
      <w:r>
        <w:rPr>
          <w:rFonts w:hint="eastAsia" w:hAnsi="宋体" w:cs="宋体"/>
          <w:b w:val="0"/>
          <w:bCs/>
          <w:color w:val="auto"/>
          <w:highlight w:val="none"/>
        </w:rPr>
        <w:t>公章；</w:t>
      </w:r>
    </w:p>
    <w:p w14:paraId="4CB07131">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w:t>
      </w:r>
      <w:r>
        <w:rPr>
          <w:rFonts w:hint="eastAsia" w:hAnsi="宋体" w:cs="宋体"/>
          <w:b w:val="0"/>
          <w:bCs/>
          <w:color w:val="auto"/>
          <w:highlight w:val="none"/>
          <w:lang w:eastAsia="zh-CN"/>
        </w:rPr>
        <w:t>投标人</w:t>
      </w:r>
      <w:r>
        <w:rPr>
          <w:rFonts w:hint="eastAsia" w:hAnsi="宋体" w:cs="宋体"/>
          <w:b w:val="0"/>
          <w:bCs/>
          <w:color w:val="auto"/>
          <w:highlight w:val="none"/>
        </w:rPr>
        <w:t>针对同一项目递交两份或多份内容不同的</w:t>
      </w:r>
      <w:r>
        <w:rPr>
          <w:rFonts w:hint="eastAsia" w:hAnsi="宋体" w:cs="宋体"/>
          <w:b w:val="0"/>
          <w:bCs/>
          <w:color w:val="auto"/>
          <w:highlight w:val="none"/>
          <w:lang w:eastAsia="zh-CN"/>
        </w:rPr>
        <w:t>投标文件</w:t>
      </w:r>
      <w:r>
        <w:rPr>
          <w:rFonts w:hint="eastAsia" w:hAnsi="宋体" w:cs="宋体"/>
          <w:b w:val="0"/>
          <w:bCs/>
          <w:color w:val="auto"/>
          <w:highlight w:val="none"/>
        </w:rPr>
        <w:t>，未书面声明哪一份有效的；</w:t>
      </w:r>
    </w:p>
    <w:p w14:paraId="4F3FE26A">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bCs w:val="0"/>
          <w:color w:val="auto"/>
          <w:highlight w:val="none"/>
        </w:rPr>
      </w:pPr>
      <w:r>
        <w:rPr>
          <w:rFonts w:hint="eastAsia" w:hAnsi="宋体" w:cs="宋体"/>
          <w:b w:val="0"/>
          <w:bCs/>
          <w:color w:val="auto"/>
          <w:highlight w:val="none"/>
        </w:rPr>
        <w:t>（4）</w:t>
      </w:r>
      <w:r>
        <w:rPr>
          <w:rFonts w:hint="eastAsia" w:hAnsi="宋体" w:cs="宋体"/>
          <w:b w:val="0"/>
          <w:bCs/>
          <w:color w:val="auto"/>
          <w:highlight w:val="none"/>
          <w:lang w:eastAsia="zh-CN"/>
        </w:rPr>
        <w:t>投标人</w:t>
      </w:r>
      <w:r>
        <w:rPr>
          <w:rFonts w:hint="eastAsia" w:hAnsi="宋体" w:cs="宋体"/>
          <w:b w:val="0"/>
          <w:bCs/>
          <w:color w:val="auto"/>
          <w:highlight w:val="none"/>
        </w:rPr>
        <w:t>在一份</w:t>
      </w:r>
      <w:r>
        <w:rPr>
          <w:rFonts w:hint="eastAsia" w:hAnsi="宋体" w:cs="宋体"/>
          <w:b w:val="0"/>
          <w:bCs/>
          <w:color w:val="auto"/>
          <w:highlight w:val="none"/>
          <w:lang w:eastAsia="zh-CN"/>
        </w:rPr>
        <w:t>投标文件</w:t>
      </w:r>
      <w:r>
        <w:rPr>
          <w:rFonts w:hint="eastAsia" w:hAnsi="宋体" w:cs="宋体"/>
          <w:b w:val="0"/>
          <w:bCs/>
          <w:color w:val="auto"/>
          <w:highlight w:val="none"/>
        </w:rPr>
        <w:t>中，对同一项目有两个或多个报价的。</w:t>
      </w:r>
    </w:p>
    <w:p w14:paraId="06B7B13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23. 开标程序</w:t>
      </w:r>
      <w:bookmarkEnd w:id="122"/>
    </w:p>
    <w:p w14:paraId="3E6323D6">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开标会主持人按照招标文件规定的开标时间宣布开标，按照规定要求主持开标会。开标将按以下程序进行：</w:t>
      </w:r>
    </w:p>
    <w:p w14:paraId="158F725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（1）宣布开标会开始，开标由采购代理机构主持，投标人</w:t>
      </w:r>
      <w:r>
        <w:rPr>
          <w:rFonts w:hint="eastAsia" w:hAnsi="宋体" w:cs="宋体"/>
          <w:b w:val="0"/>
          <w:bCs/>
          <w:color w:val="auto"/>
          <w:highlight w:val="none"/>
          <w:lang w:val="en-US" w:eastAsia="zh-CN"/>
        </w:rPr>
        <w:t>签到</w:t>
      </w:r>
      <w:r>
        <w:rPr>
          <w:rFonts w:hint="eastAsia" w:hAnsi="宋体" w:cs="宋体"/>
          <w:b w:val="0"/>
          <w:bCs/>
          <w:color w:val="auto"/>
          <w:highlight w:val="none"/>
        </w:rPr>
        <w:t>。根据</w:t>
      </w:r>
      <w:r>
        <w:rPr>
          <w:rFonts w:hint="eastAsia" w:hAnsi="宋体" w:cs="宋体"/>
          <w:b w:val="0"/>
          <w:bCs/>
          <w:color w:val="auto"/>
          <w:highlight w:val="none"/>
          <w:lang w:val="en-US" w:eastAsia="zh-CN"/>
        </w:rPr>
        <w:t>系统公示投标人</w:t>
      </w:r>
      <w:r>
        <w:rPr>
          <w:rFonts w:hint="eastAsia" w:hAnsi="宋体" w:cs="宋体"/>
          <w:b w:val="0"/>
          <w:bCs/>
          <w:color w:val="auto"/>
          <w:highlight w:val="none"/>
        </w:rPr>
        <w:t>名单。</w:t>
      </w:r>
    </w:p>
    <w:p w14:paraId="2C7BB6D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（2）根据投标人或者其推选的代表对投标文件</w:t>
      </w:r>
      <w:r>
        <w:rPr>
          <w:rFonts w:hint="eastAsia" w:hAnsi="宋体" w:cs="宋体"/>
          <w:b w:val="0"/>
          <w:bCs/>
          <w:color w:val="auto"/>
          <w:highlight w:val="none"/>
          <w:lang w:val="en-US" w:eastAsia="zh-CN"/>
        </w:rPr>
        <w:t>进行解密</w:t>
      </w:r>
      <w:r>
        <w:rPr>
          <w:rFonts w:hint="eastAsia" w:hAnsi="宋体" w:cs="宋体"/>
          <w:b w:val="0"/>
          <w:bCs/>
          <w:color w:val="auto"/>
          <w:highlight w:val="none"/>
        </w:rPr>
        <w:t>。</w:t>
      </w:r>
    </w:p>
    <w:p w14:paraId="49B1B79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（4）开标唱标</w:t>
      </w:r>
      <w:r>
        <w:rPr>
          <w:rFonts w:hint="eastAsia" w:hAnsi="宋体" w:cs="宋体"/>
          <w:b w:val="0"/>
          <w:bCs/>
          <w:color w:val="auto"/>
          <w:highlight w:val="none"/>
          <w:lang w:val="en-US" w:eastAsia="zh-CN"/>
        </w:rPr>
        <w:t>由系统统一公示</w:t>
      </w:r>
      <w:r>
        <w:rPr>
          <w:rFonts w:hint="eastAsia" w:hAnsi="宋体" w:cs="宋体"/>
          <w:b w:val="0"/>
          <w:bCs/>
          <w:color w:val="auto"/>
          <w:highlight w:val="none"/>
        </w:rPr>
        <w:t>。</w:t>
      </w:r>
    </w:p>
    <w:p w14:paraId="56E2A40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（5）投标人代表对开标过程和开标记录有</w:t>
      </w:r>
      <w:r>
        <w:rPr>
          <w:rFonts w:hint="eastAsia" w:hAnsi="宋体" w:cs="宋体"/>
          <w:b w:val="0"/>
          <w:bCs/>
          <w:color w:val="auto"/>
          <w:highlight w:val="none"/>
          <w:lang w:val="en-US" w:eastAsia="zh-CN"/>
        </w:rPr>
        <w:t>异议</w:t>
      </w:r>
      <w:r>
        <w:rPr>
          <w:rFonts w:hint="eastAsia" w:hAnsi="宋体" w:cs="宋体"/>
          <w:b w:val="0"/>
          <w:bCs/>
          <w:color w:val="auto"/>
          <w:highlight w:val="none"/>
        </w:rPr>
        <w:t>，以及认为采购人、采购代理机构相关工作人员有需要回避的情形的，应当场提出询问或者回避申请。采购人、采购代理机构对投标人代表提出的询问或者回避申请应当及时处理。开标过程中未提出疑义或回避申请，事后提出的质疑将不予受理。</w:t>
      </w:r>
    </w:p>
    <w:p w14:paraId="6F10EFD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（6）</w:t>
      </w:r>
      <w:r>
        <w:rPr>
          <w:rFonts w:hint="eastAsia" w:hAnsi="宋体" w:cs="宋体"/>
          <w:b w:val="0"/>
          <w:bCs/>
          <w:color w:val="auto"/>
          <w:highlight w:val="none"/>
          <w:lang w:val="en-US" w:eastAsia="zh-CN"/>
        </w:rPr>
        <w:t>开标会结束后，</w:t>
      </w:r>
      <w:r>
        <w:rPr>
          <w:rFonts w:hint="eastAsia" w:hAnsi="宋体" w:cs="宋体"/>
          <w:b w:val="0"/>
          <w:bCs/>
          <w:color w:val="auto"/>
          <w:highlight w:val="none"/>
        </w:rPr>
        <w:t>所有投标人应保持通讯设备的畅通，以方便在评标过程中评标委员会要求投标人对投标文件的必要澄清。评标结果投标人在“</w:t>
      </w:r>
      <w:r>
        <w:rPr>
          <w:rFonts w:hint="eastAsia" w:hAnsi="宋体" w:cs="宋体"/>
          <w:b w:val="0"/>
          <w:bCs/>
          <w:color w:val="auto"/>
          <w:highlight w:val="none"/>
          <w:lang w:eastAsia="zh-CN"/>
        </w:rPr>
        <w:t>中国政府采购网</w:t>
      </w:r>
      <w:r>
        <w:rPr>
          <w:rFonts w:hint="eastAsia" w:hAnsi="宋体" w:cs="宋体"/>
          <w:b w:val="0"/>
          <w:bCs/>
          <w:color w:val="auto"/>
          <w:highlight w:val="none"/>
        </w:rPr>
        <w:t>”</w:t>
      </w:r>
      <w:r>
        <w:rPr>
          <w:rFonts w:hint="eastAsia" w:hAnsi="宋体" w:cs="宋体"/>
          <w:b w:val="0"/>
          <w:bCs/>
          <w:color w:val="auto"/>
          <w:highlight w:val="none"/>
          <w:lang w:val="en-US" w:eastAsia="zh-CN"/>
        </w:rPr>
        <w:t>及</w:t>
      </w:r>
      <w:r>
        <w:rPr>
          <w:rFonts w:hint="eastAsia" w:ascii="宋体" w:hAnsi="宋体" w:eastAsia="宋体" w:cs="宋体"/>
          <w:b w:val="0"/>
          <w:bCs/>
          <w:color w:val="000000"/>
          <w:sz w:val="24"/>
          <w:szCs w:val="28"/>
          <w:highlight w:val="none"/>
          <w:lang w:val="en-US" w:eastAsia="zh-CN"/>
        </w:rPr>
        <w:t>“四川联采招汇电子招标采购平台”</w:t>
      </w:r>
      <w:r>
        <w:rPr>
          <w:rFonts w:hint="eastAsia" w:hAnsi="宋体" w:cs="宋体"/>
          <w:b w:val="0"/>
          <w:bCs/>
          <w:color w:val="auto"/>
          <w:highlight w:val="none"/>
        </w:rPr>
        <w:t xml:space="preserve">上查询。 </w:t>
      </w:r>
    </w:p>
    <w:p w14:paraId="67E1603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（7）投标人未</w:t>
      </w:r>
      <w:r>
        <w:rPr>
          <w:rFonts w:hint="eastAsia" w:hAnsi="宋体" w:cs="宋体"/>
          <w:b w:val="0"/>
          <w:bCs/>
          <w:color w:val="auto"/>
          <w:highlight w:val="none"/>
          <w:lang w:val="en-US" w:eastAsia="zh-CN"/>
        </w:rPr>
        <w:t>按要求签到并解密的，其投标文件将作无效处理，责任由投标人自行承担</w:t>
      </w:r>
      <w:r>
        <w:rPr>
          <w:rFonts w:hint="eastAsia" w:hAnsi="宋体" w:cs="宋体"/>
          <w:b w:val="0"/>
          <w:bCs/>
          <w:color w:val="auto"/>
          <w:highlight w:val="none"/>
        </w:rPr>
        <w:t>。　</w:t>
      </w:r>
    </w:p>
    <w:bookmarkEnd w:id="105"/>
    <w:bookmarkEnd w:id="106"/>
    <w:bookmarkEnd w:id="107"/>
    <w:p w14:paraId="2D070E1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23" w:name="_Toc183582238"/>
      <w:bookmarkStart w:id="124" w:name="_Toc183682375"/>
      <w:bookmarkStart w:id="125" w:name="_Toc217446063"/>
      <w:r>
        <w:rPr>
          <w:rFonts w:hint="eastAsia" w:ascii="宋体" w:hAnsi="宋体"/>
          <w:b/>
          <w:bCs/>
          <w:color w:val="auto"/>
          <w:sz w:val="24"/>
          <w:highlight w:val="none"/>
          <w:lang w:eastAsia="zh-CN"/>
        </w:rPr>
        <w:t>24. 开评标过程存档</w:t>
      </w:r>
    </w:p>
    <w:p w14:paraId="6EAE52E0">
      <w:pPr>
        <w:keepLines w:val="0"/>
        <w:pageBreakBefore w:val="0"/>
        <w:kinsoku/>
        <w:overflowPunct/>
        <w:bidi w:val="0"/>
        <w:spacing w:before="120" w:beforeLines="50" w:line="360" w:lineRule="auto"/>
        <w:ind w:firstLine="480" w:firstLineChars="200"/>
        <w:rPr>
          <w:rFonts w:hAnsi="宋体"/>
          <w:color w:val="auto"/>
          <w:highlight w:val="none"/>
        </w:rPr>
      </w:pPr>
      <w:r>
        <w:rPr>
          <w:rFonts w:hint="eastAsia" w:hAnsi="宋体"/>
          <w:color w:val="auto"/>
          <w:highlight w:val="none"/>
        </w:rPr>
        <w:t>开标和评标过程进行全过程电子监控，并将电子监控资料存储介质留存归档。</w:t>
      </w:r>
    </w:p>
    <w:p w14:paraId="25F5A98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25. 评标情况公告</w:t>
      </w:r>
    </w:p>
    <w:p w14:paraId="6D9520B0">
      <w:pPr>
        <w:keepLines w:val="0"/>
        <w:pageBreakBefore w:val="0"/>
        <w:kinsoku/>
        <w:overflowPunct/>
        <w:bidi w:val="0"/>
        <w:spacing w:before="120" w:beforeLines="50" w:line="360" w:lineRule="auto"/>
        <w:ind w:firstLine="480" w:firstLineChars="200"/>
        <w:rPr>
          <w:rFonts w:hint="eastAsia" w:hAnsi="宋体"/>
          <w:color w:val="auto"/>
          <w:highlight w:val="none"/>
        </w:rPr>
      </w:pPr>
      <w:r>
        <w:rPr>
          <w:rFonts w:hint="eastAsia" w:hAnsi="宋体"/>
          <w:color w:val="auto"/>
          <w:highlight w:val="none"/>
        </w:rPr>
        <w:t>所</w:t>
      </w:r>
      <w:r>
        <w:rPr>
          <w:rFonts w:hint="eastAsia" w:hAnsi="宋体"/>
          <w:color w:val="auto"/>
          <w:highlight w:val="none"/>
          <w:lang w:val="en-US" w:eastAsia="zh-CN"/>
        </w:rPr>
        <w:t>有供应商投标文件资格性、符合性检查情况、采用综合评分法时的总得分和分项汇总得分情况、评标结果等将在</w:t>
      </w:r>
      <w:r>
        <w:rPr>
          <w:rFonts w:hint="eastAsia" w:hAnsi="宋体" w:cs="宋体"/>
          <w:b w:val="0"/>
          <w:bCs/>
          <w:color w:val="auto"/>
          <w:highlight w:val="none"/>
        </w:rPr>
        <w:t>“</w:t>
      </w:r>
      <w:r>
        <w:rPr>
          <w:rFonts w:hint="eastAsia" w:hAnsi="宋体" w:cs="宋体"/>
          <w:b w:val="0"/>
          <w:bCs/>
          <w:color w:val="auto"/>
          <w:highlight w:val="none"/>
          <w:lang w:eastAsia="zh-CN"/>
        </w:rPr>
        <w:t>中国政府采购网</w:t>
      </w:r>
      <w:r>
        <w:rPr>
          <w:rFonts w:hint="eastAsia" w:hAnsi="宋体" w:cs="宋体"/>
          <w:b w:val="0"/>
          <w:bCs/>
          <w:color w:val="auto"/>
          <w:highlight w:val="none"/>
        </w:rPr>
        <w:t>”</w:t>
      </w:r>
      <w:r>
        <w:rPr>
          <w:rFonts w:hint="eastAsia" w:hAnsi="宋体" w:cs="宋体"/>
          <w:b w:val="0"/>
          <w:bCs/>
          <w:color w:val="auto"/>
          <w:highlight w:val="none"/>
          <w:lang w:val="en-US" w:eastAsia="zh-CN"/>
        </w:rPr>
        <w:t>及</w:t>
      </w:r>
      <w:r>
        <w:rPr>
          <w:rFonts w:hint="eastAsia" w:ascii="宋体" w:hAnsi="宋体" w:eastAsia="宋体" w:cs="宋体"/>
          <w:b w:val="0"/>
          <w:bCs/>
          <w:color w:val="000000"/>
          <w:sz w:val="24"/>
          <w:szCs w:val="28"/>
          <w:highlight w:val="none"/>
          <w:lang w:val="en-US" w:eastAsia="zh-CN"/>
        </w:rPr>
        <w:t>“四川联采招汇电子招标采购平台”</w:t>
      </w:r>
      <w:r>
        <w:rPr>
          <w:rFonts w:hint="eastAsia" w:hAnsi="宋体"/>
          <w:color w:val="auto"/>
          <w:highlight w:val="none"/>
          <w:lang w:val="en-US" w:eastAsia="zh-CN"/>
        </w:rPr>
        <w:t>上采购结果公告栏中予以公告。</w:t>
      </w:r>
    </w:p>
    <w:p w14:paraId="2C5DCEF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26. 中标通知</w:t>
      </w:r>
      <w:bookmarkEnd w:id="123"/>
      <w:bookmarkEnd w:id="124"/>
      <w:r>
        <w:rPr>
          <w:rFonts w:hint="eastAsia" w:ascii="宋体" w:hAnsi="宋体"/>
          <w:b/>
          <w:bCs/>
          <w:color w:val="auto"/>
          <w:sz w:val="24"/>
          <w:highlight w:val="none"/>
          <w:lang w:eastAsia="zh-CN"/>
        </w:rPr>
        <w:t>书</w:t>
      </w:r>
      <w:bookmarkEnd w:id="125"/>
    </w:p>
    <w:p w14:paraId="785023DA">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26.1 中标通知书为签订政府采购合同的依据之一，是合同的有效组成部分。</w:t>
      </w:r>
    </w:p>
    <w:p w14:paraId="0A20D8F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26.2 中标通知书对采购人和中标人均具有法律效力。中标通知书发出后，采购人改变中标结果，或者中标人无正当理由放弃中标的，应当承担相应的法律责任。</w:t>
      </w:r>
    </w:p>
    <w:p w14:paraId="1B5DB26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910F3CD">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26.4中标公告发出后，中标供应商自行领取中标通知书的，可凭有效身份证明证件（单位介绍信和个人身份证）到采购代理机构处领取中标通知书。</w:t>
      </w:r>
    </w:p>
    <w:p w14:paraId="5765B749">
      <w:pPr>
        <w:pStyle w:val="3"/>
        <w:keepLines w:val="0"/>
        <w:pageBreakBefore w:val="0"/>
        <w:kinsoku/>
        <w:overflowPunct/>
        <w:bidi w:val="0"/>
        <w:spacing w:line="360" w:lineRule="auto"/>
        <w:rPr>
          <w:rFonts w:hint="eastAsia"/>
          <w:color w:val="auto"/>
          <w:highlight w:val="none"/>
        </w:rPr>
      </w:pPr>
      <w:r>
        <w:rPr>
          <w:rFonts w:hint="eastAsia"/>
          <w:color w:val="auto"/>
          <w:highlight w:val="none"/>
        </w:rPr>
        <w:t>六、签订及履行合同和验收</w:t>
      </w:r>
    </w:p>
    <w:p w14:paraId="62482D1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27. 签订合同</w:t>
      </w:r>
    </w:p>
    <w:p w14:paraId="1A81F446">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27.1 中标人应在中标通知书发出之日起三十日内与采购人签订采购合同。由于中标人的原因逾期未与采购人签订采购合同的，将视为放弃中标，取消其中标资格并将按相关规定进行处理。</w:t>
      </w:r>
    </w:p>
    <w:p w14:paraId="0B149BBC">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27.2 采购人不得向中标人提出任何不合理的要求，作为签订合同的条件，不得与中标人私下订立背离合同实质性内容的任何协议，所签订的合同不得对招标文件和中标人投标文件确定的事项进行修改。</w:t>
      </w:r>
    </w:p>
    <w:p w14:paraId="5638A75F">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27.3中标人拒绝或因不可抗力原因不能履行采购合同或放弃中标的，采购人可以按照评标报告推荐的中标候选人名单排序，确定下一候选人为中标人，以此类推。也可以重新开展政府采购活动。</w:t>
      </w:r>
    </w:p>
    <w:p w14:paraId="177D9554">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27.4 中标人在合同签订之后三个工作日内，将签订的合同（一份）送采购代理机构财务科室。签订的合同编号按照本项目中标通知书上的编号执行。</w:t>
      </w:r>
    </w:p>
    <w:p w14:paraId="5A899EBC">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27.5中标人在合同履行验收后三个工作日内，将采购人出具的验收书（一份）送采购代理机构财务科室。</w:t>
      </w:r>
    </w:p>
    <w:p w14:paraId="79307B5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26" w:name="_Toc217446066"/>
      <w:r>
        <w:rPr>
          <w:rFonts w:hint="eastAsia" w:ascii="宋体" w:hAnsi="宋体"/>
          <w:b/>
          <w:bCs/>
          <w:color w:val="auto"/>
          <w:sz w:val="24"/>
          <w:highlight w:val="none"/>
          <w:lang w:eastAsia="zh-CN"/>
        </w:rPr>
        <w:t>28. 合同分包</w:t>
      </w:r>
      <w:bookmarkEnd w:id="126"/>
      <w:r>
        <w:rPr>
          <w:rFonts w:hint="eastAsia" w:ascii="宋体" w:hAnsi="宋体"/>
          <w:b/>
          <w:bCs/>
          <w:color w:val="auto"/>
          <w:sz w:val="24"/>
          <w:highlight w:val="none"/>
          <w:lang w:eastAsia="zh-CN"/>
        </w:rPr>
        <w:t>（实质性要求）</w:t>
      </w:r>
    </w:p>
    <w:p w14:paraId="07267A19">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127" w:name="_Toc217446067"/>
      <w:r>
        <w:rPr>
          <w:rFonts w:hint="eastAsia" w:hAnsi="宋体" w:cs="宋体"/>
          <w:b w:val="0"/>
          <w:bCs/>
          <w:color w:val="auto"/>
          <w:highlight w:val="none"/>
        </w:rPr>
        <w:t>28.1 经采购人同意，中标人可以依法采取分包方式履行合同。这种要求应当在合同签订之前征得采购人同意，并且分包供应商履行的分包项目的品牌、规格型号及技术要求等，必须与中标的一致。</w:t>
      </w:r>
    </w:p>
    <w:p w14:paraId="1A52024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14:paraId="28F61B6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28.2 采购合同实行分包履行的，中标人就采购项目和分包项目向采购人负责，分包供应商就分包项目承担责任。</w:t>
      </w:r>
    </w:p>
    <w:bookmarkEnd w:id="127"/>
    <w:p w14:paraId="0E05990C">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128" w:name="_Toc217446069"/>
      <w:r>
        <w:rPr>
          <w:rFonts w:hint="eastAsia" w:hAnsi="宋体" w:cs="宋体"/>
          <w:b w:val="0"/>
          <w:bCs/>
          <w:color w:val="auto"/>
          <w:highlight w:val="none"/>
        </w:rPr>
        <w:t>28.3 中小企业根据《政府采购促进中小企业发展管理办法》（财库〔2020〕46号）的规定依据本办法规定享受扶持政策获得政府采购合同的，小微企业不得将合同分包给大中型企业，中型企业不得将合同分包给大型企业。</w:t>
      </w:r>
    </w:p>
    <w:p w14:paraId="773DF8D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29.合同转包（实质性要求）</w:t>
      </w:r>
    </w:p>
    <w:p w14:paraId="2960B818">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E467E0E">
      <w:pPr>
        <w:pStyle w:val="1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中标人转包的，视同拒绝履行政府采购合同义务，将依法追究法律责任。</w:t>
      </w:r>
    </w:p>
    <w:p w14:paraId="2F0C680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30. 补充合同</w:t>
      </w:r>
    </w:p>
    <w:p w14:paraId="44F85BA3">
      <w:pPr>
        <w:keepLines w:val="0"/>
        <w:pageBreakBefore w:val="0"/>
        <w:kinsoku/>
        <w:overflowPunct/>
        <w:bidi w:val="0"/>
        <w:adjustRightInd w:val="0"/>
        <w:snapToGrid w:val="0"/>
        <w:spacing w:line="360" w:lineRule="auto"/>
        <w:ind w:firstLine="540" w:firstLineChars="225"/>
        <w:rPr>
          <w:rFonts w:hint="eastAsia" w:hAnsi="宋体"/>
          <w:color w:val="auto"/>
          <w:highlight w:val="none"/>
        </w:rPr>
      </w:pPr>
      <w:r>
        <w:rPr>
          <w:rFonts w:hint="eastAsia" w:hAnsi="宋体"/>
          <w:color w:val="auto"/>
          <w:highlight w:val="none"/>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532C280">
      <w:pPr>
        <w:pStyle w:val="28"/>
      </w:pPr>
    </w:p>
    <w:p w14:paraId="7239F772">
      <w:pPr>
        <w:keepNext w:val="0"/>
        <w:keepLines w:val="0"/>
        <w:pageBreakBefore w:val="0"/>
        <w:widowControl/>
        <w:numPr>
          <w:ilvl w:val="0"/>
          <w:numId w:val="4"/>
        </w:numPr>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29" w:name="_Toc308164812"/>
      <w:r>
        <w:rPr>
          <w:rFonts w:hint="eastAsia" w:ascii="宋体" w:hAnsi="宋体"/>
          <w:b/>
          <w:bCs/>
          <w:color w:val="auto"/>
          <w:sz w:val="24"/>
          <w:highlight w:val="none"/>
          <w:lang w:eastAsia="zh-CN"/>
        </w:rPr>
        <w:t>履约保证金</w:t>
      </w:r>
      <w:bookmarkEnd w:id="129"/>
      <w:r>
        <w:rPr>
          <w:rFonts w:hint="eastAsia" w:ascii="宋体" w:hAnsi="宋体"/>
          <w:b/>
          <w:bCs/>
          <w:color w:val="auto"/>
          <w:sz w:val="24"/>
          <w:highlight w:val="none"/>
          <w:lang w:eastAsia="zh-CN"/>
        </w:rPr>
        <w:t>（实质性要求）</w:t>
      </w:r>
    </w:p>
    <w:p w14:paraId="7AEF3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宋体" w:eastAsia="宋体" w:cs="Times New Roman"/>
          <w:b w:val="0"/>
          <w:bCs w:val="0"/>
          <w:color w:val="auto"/>
          <w:sz w:val="24"/>
          <w:szCs w:val="24"/>
          <w:highlight w:val="none"/>
          <w:lang w:val="en-US" w:eastAsia="zh-CN" w:bidi="ar-SA"/>
        </w:rPr>
      </w:pPr>
      <w:r>
        <w:rPr>
          <w:rFonts w:hint="eastAsia" w:ascii="Times New Roman" w:hAnsi="宋体" w:cs="Times New Roman"/>
          <w:b w:val="0"/>
          <w:bCs w:val="0"/>
          <w:color w:val="auto"/>
          <w:sz w:val="24"/>
          <w:szCs w:val="24"/>
          <w:highlight w:val="none"/>
          <w:lang w:val="en-US" w:eastAsia="zh-CN" w:bidi="ar-SA"/>
        </w:rPr>
        <w:t>31.1 中标人应在合同签订之前缴纳招标文件规定数额的履约保证金。</w:t>
      </w:r>
    </w:p>
    <w:p w14:paraId="24D3D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宋体" w:eastAsia="宋体" w:cs="Times New Roman"/>
          <w:b w:val="0"/>
          <w:bCs w:val="0"/>
          <w:color w:val="auto"/>
          <w:sz w:val="24"/>
          <w:szCs w:val="24"/>
          <w:highlight w:val="none"/>
          <w:lang w:val="en-US" w:eastAsia="zh-CN" w:bidi="ar-SA"/>
        </w:rPr>
      </w:pPr>
      <w:r>
        <w:rPr>
          <w:rFonts w:hint="eastAsia" w:ascii="Times New Roman" w:hAnsi="宋体" w:cs="Times New Roman"/>
          <w:b w:val="0"/>
          <w:bCs w:val="0"/>
          <w:color w:val="auto"/>
          <w:sz w:val="24"/>
          <w:szCs w:val="24"/>
          <w:highlight w:val="none"/>
          <w:lang w:val="en-US" w:eastAsia="zh-CN" w:bidi="ar-SA"/>
        </w:rPr>
        <w:t xml:space="preserve">    31.2 </w:t>
      </w:r>
      <w:r>
        <w:rPr>
          <w:rFonts w:hint="eastAsia" w:ascii="Times New Roman" w:hAnsi="宋体" w:eastAsia="宋体" w:cs="Times New Roman"/>
          <w:b w:val="0"/>
          <w:bCs w:val="0"/>
          <w:color w:val="auto"/>
          <w:sz w:val="24"/>
          <w:szCs w:val="24"/>
          <w:highlight w:val="none"/>
          <w:lang w:val="en-US" w:eastAsia="zh-CN" w:bidi="ar-SA"/>
        </w:rPr>
        <w:t>如果中标人在规定的合同签订时间内，没有按照招标文件的规定交纳履约保证金，且又无正当理由的，将视为放弃中标。</w:t>
      </w:r>
    </w:p>
    <w:p w14:paraId="58003F3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32.合同公告</w:t>
      </w:r>
    </w:p>
    <w:p w14:paraId="028953C4">
      <w:pPr>
        <w:keepLines w:val="0"/>
        <w:pageBreakBefore w:val="0"/>
        <w:kinsoku/>
        <w:overflowPunct/>
        <w:bidi w:val="0"/>
        <w:spacing w:line="360" w:lineRule="auto"/>
        <w:ind w:firstLine="480" w:firstLineChars="200"/>
        <w:rPr>
          <w:rFonts w:hAnsi="宋体"/>
          <w:color w:val="auto"/>
          <w:highlight w:val="none"/>
        </w:rPr>
      </w:pPr>
      <w:r>
        <w:rPr>
          <w:rFonts w:hint="eastAsia" w:hAnsi="宋体"/>
          <w:color w:val="auto"/>
          <w:highlight w:val="none"/>
          <w:lang w:val="en-US" w:eastAsia="zh-CN"/>
        </w:rPr>
        <w:t>按相关规定执行</w:t>
      </w:r>
      <w:r>
        <w:rPr>
          <w:rFonts w:hint="eastAsia" w:hAnsi="宋体"/>
          <w:color w:val="auto"/>
          <w:highlight w:val="none"/>
        </w:rPr>
        <w:t>。</w:t>
      </w:r>
    </w:p>
    <w:p w14:paraId="28DB91F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33.合同备案</w:t>
      </w:r>
    </w:p>
    <w:p w14:paraId="464D02EB">
      <w:pPr>
        <w:keepLines w:val="0"/>
        <w:pageBreakBefore w:val="0"/>
        <w:kinsoku/>
        <w:overflowPunct/>
        <w:bidi w:val="0"/>
        <w:spacing w:line="360" w:lineRule="auto"/>
        <w:ind w:firstLine="480" w:firstLineChars="200"/>
        <w:rPr>
          <w:rFonts w:hint="default" w:hAnsi="宋体" w:eastAsia="宋体"/>
          <w:color w:val="auto"/>
          <w:highlight w:val="none"/>
          <w:lang w:val="en-US" w:eastAsia="zh-CN"/>
        </w:rPr>
      </w:pPr>
      <w:r>
        <w:rPr>
          <w:rFonts w:hint="eastAsia" w:hAnsi="宋体"/>
          <w:color w:val="auto"/>
          <w:highlight w:val="none"/>
        </w:rPr>
        <w:t>采购人应当将政府采购合同副本自签订（双方当事人均已签字盖章）之日起七个工作日内</w:t>
      </w:r>
      <w:r>
        <w:rPr>
          <w:rFonts w:hint="eastAsia" w:hAnsi="宋体"/>
          <w:color w:val="auto"/>
          <w:highlight w:val="none"/>
          <w:lang w:val="en-US" w:eastAsia="zh-CN"/>
        </w:rPr>
        <w:t>自行备案存档。</w:t>
      </w:r>
    </w:p>
    <w:p w14:paraId="2BD1C8C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34. 履行合同</w:t>
      </w:r>
    </w:p>
    <w:p w14:paraId="0F29617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olor w:val="auto"/>
          <w:highlight w:val="none"/>
        </w:rPr>
      </w:pPr>
      <w:r>
        <w:rPr>
          <w:rFonts w:hint="eastAsia" w:hAnsi="宋体"/>
          <w:color w:val="auto"/>
          <w:highlight w:val="none"/>
        </w:rPr>
        <w:t>34.1 中标人与采购人签订合同后，合同双方应严格执行合同条款，履行合同规定的义务，保证合同的顺利完成。</w:t>
      </w:r>
    </w:p>
    <w:p w14:paraId="7A280724">
      <w:pPr>
        <w:keepLines w:val="0"/>
        <w:pageBreakBefore w:val="0"/>
        <w:kinsoku/>
        <w:overflowPunct/>
        <w:bidi w:val="0"/>
        <w:spacing w:line="360" w:lineRule="auto"/>
        <w:ind w:firstLine="480"/>
        <w:rPr>
          <w:rFonts w:hAnsi="宋体"/>
          <w:color w:val="auto"/>
          <w:highlight w:val="none"/>
        </w:rPr>
      </w:pPr>
      <w:r>
        <w:rPr>
          <w:rFonts w:hint="eastAsia" w:hAnsi="宋体"/>
          <w:color w:val="auto"/>
          <w:highlight w:val="none"/>
        </w:rPr>
        <w:t>34.2 在合同履行过程中，如发生合同纠纷，合同双方应按照《中华人民共和国民法典》的有关规定进行处理。</w:t>
      </w:r>
    </w:p>
    <w:p w14:paraId="42CAA987">
      <w:pPr>
        <w:pStyle w:val="18"/>
        <w:keepLines w:val="0"/>
        <w:pageBreakBefore w:val="0"/>
        <w:kinsoku/>
        <w:overflowPunct/>
        <w:bidi w:val="0"/>
        <w:spacing w:line="360" w:lineRule="auto"/>
        <w:ind w:firstLine="480"/>
        <w:rPr>
          <w:rFonts w:hAnsi="宋体"/>
          <w:color w:val="auto"/>
          <w:kern w:val="0"/>
          <w:sz w:val="24"/>
          <w:highlight w:val="none"/>
        </w:rPr>
      </w:pPr>
      <w:r>
        <w:rPr>
          <w:rFonts w:hint="eastAsia" w:hAnsi="宋体"/>
          <w:color w:val="auto"/>
          <w:kern w:val="0"/>
          <w:sz w:val="24"/>
          <w:highlight w:val="none"/>
        </w:rPr>
        <w:t>34.3政府采购货物、工程和服务项目中涉及商品包装和快递包装的，要参考《商品包装政府采购需求标准（试行）》《快递包装政府采购需求标准（试行）》包装需求标准执行。</w:t>
      </w:r>
    </w:p>
    <w:p w14:paraId="5C79E1C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30" w:name="_Toc308164814"/>
      <w:r>
        <w:rPr>
          <w:rFonts w:hint="eastAsia" w:ascii="宋体" w:hAnsi="宋体"/>
          <w:b/>
          <w:bCs/>
          <w:color w:val="auto"/>
          <w:sz w:val="24"/>
          <w:highlight w:val="none"/>
          <w:lang w:eastAsia="zh-CN"/>
        </w:rPr>
        <w:t>35. 验收</w:t>
      </w:r>
      <w:bookmarkEnd w:id="130"/>
    </w:p>
    <w:bookmarkEnd w:id="128"/>
    <w:p w14:paraId="3B18EAE3">
      <w:pPr>
        <w:keepLines w:val="0"/>
        <w:pageBreakBefore w:val="0"/>
        <w:kinsoku/>
        <w:overflowPunct/>
        <w:bidi w:val="0"/>
        <w:adjustRightInd w:val="0"/>
        <w:snapToGrid w:val="0"/>
        <w:spacing w:line="360" w:lineRule="auto"/>
        <w:ind w:firstLine="480" w:firstLineChars="200"/>
        <w:rPr>
          <w:rFonts w:ascii="宋体" w:hAnsi="宋体" w:cs="宋体"/>
          <w:color w:val="auto"/>
          <w:highlight w:val="none"/>
        </w:rPr>
      </w:pPr>
      <w:bookmarkStart w:id="131" w:name="_Toc217446074"/>
      <w:bookmarkStart w:id="132" w:name="_Toc183682380"/>
      <w:bookmarkStart w:id="133" w:name="_Toc183582243"/>
      <w:r>
        <w:rPr>
          <w:rFonts w:hint="eastAsia" w:ascii="宋体" w:hAnsi="宋体" w:cs="宋体"/>
          <w:color w:val="auto"/>
          <w:highlight w:val="none"/>
        </w:rPr>
        <w:t>35.1本项目采购人将严格按照政府采购相关法律法规以及《财政部关于进一步加强政府采购需求和履约验收管理的指导意见》（财库〔2016〕205号）</w:t>
      </w:r>
      <w:r>
        <w:rPr>
          <w:rFonts w:hint="eastAsia"/>
          <w:color w:val="auto"/>
          <w:highlight w:val="none"/>
          <w:lang w:eastAsia="zh-CN"/>
        </w:rPr>
        <w:t>、</w:t>
      </w:r>
      <w:r>
        <w:rPr>
          <w:rFonts w:hint="eastAsia"/>
          <w:color w:val="auto"/>
          <w:highlight w:val="none"/>
        </w:rPr>
        <w:t>招标文件</w:t>
      </w:r>
      <w:r>
        <w:rPr>
          <w:rFonts w:hint="eastAsia" w:ascii="宋体" w:hAnsi="宋体"/>
          <w:color w:val="auto"/>
          <w:highlight w:val="none"/>
        </w:rPr>
        <w:t>规定的要求和投标文件及合同承诺的内容进行验收</w:t>
      </w:r>
      <w:r>
        <w:rPr>
          <w:rFonts w:hint="eastAsia" w:ascii="宋体" w:hAnsi="宋体" w:cs="宋体"/>
          <w:color w:val="auto"/>
          <w:highlight w:val="none"/>
        </w:rPr>
        <w:t>。</w:t>
      </w:r>
    </w:p>
    <w:p w14:paraId="58ED367D">
      <w:pPr>
        <w:pStyle w:val="3"/>
        <w:keepLines w:val="0"/>
        <w:pageBreakBefore w:val="0"/>
        <w:kinsoku/>
        <w:overflowPunct/>
        <w:bidi w:val="0"/>
        <w:spacing w:line="360" w:lineRule="auto"/>
        <w:rPr>
          <w:rFonts w:hint="eastAsia"/>
          <w:color w:val="auto"/>
          <w:highlight w:val="none"/>
        </w:rPr>
      </w:pPr>
      <w:r>
        <w:rPr>
          <w:rFonts w:hint="eastAsia"/>
          <w:color w:val="auto"/>
          <w:highlight w:val="none"/>
        </w:rPr>
        <w:t>七、投标纪律要求</w:t>
      </w:r>
      <w:bookmarkEnd w:id="131"/>
    </w:p>
    <w:p w14:paraId="12D280D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34" w:name="_Toc217446075"/>
      <w:r>
        <w:rPr>
          <w:rFonts w:hint="eastAsia" w:ascii="宋体" w:hAnsi="宋体"/>
          <w:b/>
          <w:bCs/>
          <w:color w:val="auto"/>
          <w:sz w:val="24"/>
          <w:highlight w:val="none"/>
          <w:lang w:eastAsia="zh-CN"/>
        </w:rPr>
        <w:t>36. 投标人不得具有的情形</w:t>
      </w:r>
      <w:bookmarkEnd w:id="134"/>
    </w:p>
    <w:p w14:paraId="33DD28C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bookmarkStart w:id="135" w:name="_Toc217446076"/>
      <w:r>
        <w:rPr>
          <w:rFonts w:hint="eastAsia" w:ascii="宋体" w:hAnsi="宋体" w:cs="宋体"/>
          <w:color w:val="auto"/>
          <w:highlight w:val="none"/>
        </w:rPr>
        <w:t>投标人参加本项目投标不得有下列情形：</w:t>
      </w:r>
    </w:p>
    <w:p w14:paraId="7519900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（1）提供虚假材料、承诺谋取中标；</w:t>
      </w:r>
    </w:p>
    <w:p w14:paraId="668F4910">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（2）采取不正当手段诋毁、排挤其他投标人；</w:t>
      </w:r>
    </w:p>
    <w:p w14:paraId="73EE73A9">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（3）与招标采购单位、其他投标人恶意串通；</w:t>
      </w:r>
    </w:p>
    <w:p w14:paraId="3C3D4A47">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（4）向招标采购单位、评标委员会成员行贿或者提供其他不正当利益；</w:t>
      </w:r>
    </w:p>
    <w:p w14:paraId="58E5A19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（5）在招标过程中与招标采购单位进行协商谈判；</w:t>
      </w:r>
    </w:p>
    <w:p w14:paraId="20BA0D5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（6）中标或者成交后无正当理由拒不与采购人签订政府采购合同；</w:t>
      </w:r>
    </w:p>
    <w:p w14:paraId="266DFECC">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（7）未按照招标（采购）文件确定的事项签订政府采购合同；</w:t>
      </w:r>
    </w:p>
    <w:p w14:paraId="584570A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（8）将政府采购合同转包或者违规分包；</w:t>
      </w:r>
    </w:p>
    <w:p w14:paraId="1FB2FA27">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（9）提供假冒伪劣产品；</w:t>
      </w:r>
    </w:p>
    <w:p w14:paraId="5CA75DF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（10）擅自变更、中止或者终止政府采购合同；</w:t>
      </w:r>
    </w:p>
    <w:p w14:paraId="045FF37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（11）拒绝有关部门的监督检查或者向监督检查部门提供虚假情况；</w:t>
      </w:r>
    </w:p>
    <w:p w14:paraId="17870F1C">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（12）法律法规规定的其他情形。</w:t>
      </w:r>
    </w:p>
    <w:p w14:paraId="4A6BDAB0">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投标人有上述情形的，按照规定追究法律责任，具备（1）-（12）条情形之一的，同时将取消中标资格或者认定中标无效。</w:t>
      </w:r>
      <w:bookmarkEnd w:id="135"/>
      <w:bookmarkStart w:id="136" w:name="_Toc217446077"/>
    </w:p>
    <w:p w14:paraId="0405D6D0">
      <w:pPr>
        <w:pStyle w:val="3"/>
        <w:keepLines w:val="0"/>
        <w:pageBreakBefore w:val="0"/>
        <w:kinsoku/>
        <w:overflowPunct/>
        <w:bidi w:val="0"/>
        <w:spacing w:line="360" w:lineRule="auto"/>
        <w:rPr>
          <w:rFonts w:hint="eastAsia"/>
          <w:color w:val="auto"/>
          <w:highlight w:val="none"/>
        </w:rPr>
      </w:pPr>
      <w:r>
        <w:rPr>
          <w:rFonts w:hint="eastAsia"/>
          <w:color w:val="auto"/>
          <w:highlight w:val="none"/>
        </w:rPr>
        <w:t>八、质疑和投诉</w:t>
      </w:r>
    </w:p>
    <w:bookmarkEnd w:id="136"/>
    <w:p w14:paraId="0832880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bookmarkStart w:id="137" w:name="_Toc217446079"/>
      <w:r>
        <w:rPr>
          <w:rFonts w:hint="eastAsia" w:ascii="宋体" w:hAnsi="宋体" w:cs="宋体"/>
          <w:color w:val="auto"/>
          <w:highlight w:val="none"/>
        </w:rPr>
        <w:t>3</w:t>
      </w:r>
      <w:bookmarkEnd w:id="137"/>
      <w:r>
        <w:rPr>
          <w:rFonts w:hint="eastAsia" w:ascii="宋体" w:hAnsi="宋体" w:cs="宋体"/>
          <w:color w:val="auto"/>
          <w:highlight w:val="none"/>
        </w:rPr>
        <w:t>7．</w:t>
      </w:r>
      <w:bookmarkEnd w:id="132"/>
      <w:bookmarkEnd w:id="133"/>
      <w:r>
        <w:rPr>
          <w:rFonts w:hint="eastAsia" w:ascii="宋体" w:hAnsi="宋体" w:cs="宋体"/>
          <w:color w:val="auto"/>
          <w:highlight w:val="none"/>
        </w:rPr>
        <w:t>询问、质疑、投诉的接收和处理严格按照《中华人民共和国政府采购法》、《中华人民共和国政府采购法实施条例》、《政府采购质疑和投诉办法》的规定办理。本项目要求供应商在法定质疑期内一次性提出针对同一采购程序环节的质疑。</w:t>
      </w:r>
    </w:p>
    <w:p w14:paraId="02AD30B9">
      <w:pPr>
        <w:pStyle w:val="3"/>
        <w:keepLines w:val="0"/>
        <w:pageBreakBefore w:val="0"/>
        <w:kinsoku/>
        <w:overflowPunct/>
        <w:bidi w:val="0"/>
        <w:spacing w:line="360" w:lineRule="auto"/>
        <w:rPr>
          <w:color w:val="auto"/>
          <w:highlight w:val="none"/>
        </w:rPr>
      </w:pPr>
      <w:r>
        <w:rPr>
          <w:rFonts w:hint="eastAsia"/>
          <w:color w:val="auto"/>
          <w:highlight w:val="none"/>
        </w:rPr>
        <w:t>九、其他</w:t>
      </w:r>
    </w:p>
    <w:p w14:paraId="71ADAFC9">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38.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6B754A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39. 本项目除招标文件明确规定可以采购进口产品的货物外，不允许采购进口产品，否则作无效处理。</w:t>
      </w:r>
    </w:p>
    <w:p w14:paraId="4DF66D6E">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sectPr>
          <w:headerReference r:id="rId16" w:type="first"/>
          <w:footerReference r:id="rId18" w:type="first"/>
          <w:headerReference r:id="rId15" w:type="default"/>
          <w:footerReference r:id="rId17" w:type="default"/>
          <w:pgSz w:w="11907" w:h="16840"/>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color w:val="auto"/>
          <w:highlight w:val="none"/>
        </w:rPr>
        <w:t>40.（实质性要求）国家或行业主管部门对采购产品的技术标准、质量标准和资格资质条件等有强制性规定的，必须符合其要求。</w:t>
      </w:r>
    </w:p>
    <w:p w14:paraId="346DE1D5">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38" w:name="_Toc18552"/>
      <w:bookmarkStart w:id="139" w:name="_Toc17003"/>
      <w:bookmarkStart w:id="140" w:name="_Toc18996"/>
      <w:r>
        <w:rPr>
          <w:rFonts w:hint="eastAsia" w:ascii="Cambria" w:hAnsi="Cambria" w:eastAsia="宋体" w:cs="Times New Roman"/>
          <w:b/>
          <w:bCs/>
          <w:color w:val="auto"/>
          <w:kern w:val="32"/>
          <w:sz w:val="32"/>
          <w:szCs w:val="32"/>
          <w:highlight w:val="none"/>
          <w:lang w:val="en-US" w:eastAsia="zh-CN" w:bidi="ar-SA"/>
        </w:rPr>
        <w:t>第三章 投标文件格式</w:t>
      </w:r>
      <w:bookmarkEnd w:id="93"/>
      <w:bookmarkEnd w:id="138"/>
      <w:bookmarkEnd w:id="139"/>
      <w:bookmarkEnd w:id="140"/>
    </w:p>
    <w:p w14:paraId="498B284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p>
    <w:p w14:paraId="2DE315A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一、本章所制投标文件格式，除格式中明确将该格式作为实质性要求的，一律不具有强制性。</w:t>
      </w:r>
    </w:p>
    <w:p w14:paraId="59A5663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二、本章所制投标文件格式有关表格中的备注栏，由投标人根据自身投标情况作解释性说明，不作为必填项（如果供应商投标文件中已经去掉备注而无其他解释性说明，则视为完全理解并同意备注中的要求）。</w:t>
      </w:r>
    </w:p>
    <w:p w14:paraId="783EDE5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color w:val="auto"/>
          <w:highlight w:val="none"/>
        </w:rPr>
        <w:t>三、本章所制投标文件格式中需要填写的相关内容事项，可能会与本采购项目无关，在不改变投标文件原义、不影响本项目采购需求的情况下，投标人可以不予填写，但应当注明。</w:t>
      </w:r>
    </w:p>
    <w:p w14:paraId="2714D4F6">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bookmarkStart w:id="141" w:name="_Toc217446082"/>
      <w:r>
        <w:rPr>
          <w:rFonts w:hint="eastAsia"/>
          <w:color w:val="auto"/>
          <w:sz w:val="32"/>
          <w:szCs w:val="32"/>
          <w:highlight w:val="none"/>
          <w:lang w:val="en-US" w:eastAsia="zh-CN"/>
        </w:rPr>
        <w:t>一、投 标 函</w:t>
      </w:r>
      <w:bookmarkEnd w:id="141"/>
    </w:p>
    <w:p w14:paraId="734E5CF3">
      <w:pPr>
        <w:keepLines w:val="0"/>
        <w:pageBreakBefore w:val="0"/>
        <w:kinsoku/>
        <w:overflowPunct/>
        <w:bidi w:val="0"/>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lang w:eastAsia="zh-CN"/>
        </w:rPr>
        <w:t>四川凉都招标代理有限公司</w:t>
      </w:r>
      <w:r>
        <w:rPr>
          <w:rFonts w:hint="eastAsia" w:ascii="宋体" w:hAnsi="宋体" w:cs="宋体"/>
          <w:color w:val="auto"/>
          <w:highlight w:val="none"/>
        </w:rPr>
        <w:t>：</w:t>
      </w:r>
    </w:p>
    <w:p w14:paraId="7EFC1FF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我方全面研究了“</w:t>
      </w:r>
      <w:r>
        <w:rPr>
          <w:rFonts w:hint="eastAsia" w:ascii="宋体" w:hAnsi="宋体" w:cs="宋体"/>
          <w:color w:val="auto"/>
          <w:highlight w:val="none"/>
          <w:u w:val="single"/>
        </w:rPr>
        <w:t xml:space="preserve">    </w:t>
      </w:r>
      <w:r>
        <w:rPr>
          <w:rFonts w:hint="eastAsia" w:ascii="宋体" w:hAnsi="宋体" w:cs="宋体"/>
          <w:color w:val="auto"/>
          <w:highlight w:val="none"/>
        </w:rPr>
        <w:t>”项目【招标编号：</w:t>
      </w:r>
      <w:r>
        <w:rPr>
          <w:rFonts w:hint="eastAsia" w:ascii="宋体" w:hAnsi="宋体" w:cs="宋体"/>
          <w:color w:val="auto"/>
          <w:highlight w:val="none"/>
          <w:u w:val="single"/>
        </w:rPr>
        <w:t xml:space="preserve">         </w:t>
      </w:r>
      <w:r>
        <w:rPr>
          <w:rFonts w:hint="eastAsia" w:ascii="宋体" w:hAnsi="宋体" w:cs="宋体"/>
          <w:color w:val="auto"/>
          <w:highlight w:val="none"/>
        </w:rPr>
        <w:t>】招标文件；决定参加贵单位组织的本项目投标。我方授权</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（姓名、职务）代表我方（投标单位的名称）全权处理本项目投标的有关事宜。</w:t>
      </w:r>
    </w:p>
    <w:p w14:paraId="09E30C97">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1、我方自愿按照招标文件规定的各项要求向采购人提供所需货物/服务，投标总价为</w:t>
      </w:r>
      <w:r>
        <w:rPr>
          <w:rFonts w:hint="eastAsia" w:ascii="宋体" w:hAnsi="宋体" w:cs="宋体"/>
          <w:color w:val="auto"/>
          <w:highlight w:val="none"/>
          <w:lang w:val="en-US" w:eastAsia="zh-CN"/>
        </w:rPr>
        <w:t>人民币（万元）</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（大写：</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w:t>
      </w:r>
    </w:p>
    <w:p w14:paraId="742F6551">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2、一旦我方中标，我方将严格履行政府采购合同规定的责任和义务。</w:t>
      </w:r>
    </w:p>
    <w:p w14:paraId="3DDEADB9">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3、我们已详细阅读全部招标文件，参考资料及有关附件等，我们完全理解并放弃提出含糊不清或误解的问题的权利。</w:t>
      </w:r>
    </w:p>
    <w:p w14:paraId="0066EDD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4、我方为本项目提交的投标文件一份，投标有效期为递交投标文件截止之日起</w:t>
      </w:r>
      <w:r>
        <w:rPr>
          <w:rFonts w:hint="eastAsia" w:ascii="宋体" w:hAnsi="宋体" w:cs="宋体"/>
          <w:color w:val="auto"/>
          <w:highlight w:val="none"/>
          <w:u w:val="single"/>
        </w:rPr>
        <w:t>90</w:t>
      </w:r>
      <w:r>
        <w:rPr>
          <w:rFonts w:hint="eastAsia" w:ascii="宋体" w:hAnsi="宋体" w:cs="宋体"/>
          <w:color w:val="auto"/>
          <w:highlight w:val="none"/>
        </w:rPr>
        <w:t>天。</w:t>
      </w:r>
    </w:p>
    <w:p w14:paraId="71FB82EC">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5、我方完全理解采购人不一定接受最低报价的投标或收到的任何投标。</w:t>
      </w:r>
    </w:p>
    <w:p w14:paraId="3F2945B4">
      <w:pPr>
        <w:keepLines w:val="0"/>
        <w:pageBreakBefore w:val="0"/>
        <w:kinsoku/>
        <w:overflowPunct/>
        <w:bidi w:val="0"/>
        <w:adjustRightInd w:val="0"/>
        <w:snapToGrid w:val="0"/>
        <w:spacing w:line="360" w:lineRule="auto"/>
        <w:ind w:firstLine="480" w:firstLineChars="200"/>
        <w:rPr>
          <w:rFonts w:hAnsi="宋体"/>
          <w:color w:val="auto"/>
          <w:highlight w:val="none"/>
        </w:rPr>
      </w:pPr>
      <w:r>
        <w:rPr>
          <w:rFonts w:hint="eastAsia" w:ascii="宋体" w:hAnsi="宋体" w:cs="宋体"/>
          <w:color w:val="auto"/>
          <w:highlight w:val="none"/>
        </w:rPr>
        <w:t>6、我方同意本招标文件依据《四川省公共资源交易领域严重失信联合惩戒实施办法》（川</w:t>
      </w:r>
      <w:r>
        <w:rPr>
          <w:rFonts w:ascii="宋体" w:hAnsi="宋体" w:cs="宋体"/>
          <w:color w:val="auto"/>
          <w:highlight w:val="none"/>
        </w:rPr>
        <w:t>发改信用规〔2019〕405号）、《关于对政府采购领域严重违法失信主体开展联合惩戒的合作备忘录》（发改财金〔2018〕1614号）</w:t>
      </w:r>
      <w:r>
        <w:rPr>
          <w:rFonts w:hint="eastAsia" w:hAnsi="宋体"/>
          <w:color w:val="auto"/>
          <w:highlight w:val="none"/>
        </w:rPr>
        <w:t>对我方可能存在的失信行为进行的惩戒。</w:t>
      </w:r>
    </w:p>
    <w:p w14:paraId="011860E0">
      <w:pPr>
        <w:keepLines w:val="0"/>
        <w:pageBreakBefore w:val="0"/>
        <w:kinsoku/>
        <w:overflowPunct/>
        <w:autoSpaceDE w:val="0"/>
        <w:autoSpaceDN w:val="0"/>
        <w:bidi w:val="0"/>
        <w:snapToGrid w:val="0"/>
        <w:spacing w:line="360" w:lineRule="auto"/>
        <w:ind w:firstLine="480" w:firstLineChars="200"/>
        <w:rPr>
          <w:color w:val="auto"/>
          <w:highlight w:val="none"/>
        </w:rPr>
      </w:pPr>
      <w:r>
        <w:rPr>
          <w:rFonts w:hint="eastAsia" w:hAnsi="宋体"/>
          <w:color w:val="auto"/>
          <w:highlight w:val="none"/>
        </w:rPr>
        <w:t>7、</w:t>
      </w:r>
      <w:r>
        <w:rPr>
          <w:rFonts w:hAnsi="宋体"/>
          <w:color w:val="auto"/>
          <w:highlight w:val="none"/>
        </w:rPr>
        <w:t>如果我方</w:t>
      </w:r>
      <w:r>
        <w:rPr>
          <w:rFonts w:hint="eastAsia" w:hAnsi="宋体"/>
          <w:color w:val="auto"/>
          <w:highlight w:val="none"/>
        </w:rPr>
        <w:t>中标</w:t>
      </w:r>
      <w:r>
        <w:rPr>
          <w:rFonts w:hAnsi="宋体"/>
          <w:color w:val="auto"/>
          <w:highlight w:val="none"/>
        </w:rPr>
        <w:t>，我方保证按照招标文件的规定向贵方交纳</w:t>
      </w:r>
      <w:r>
        <w:rPr>
          <w:rFonts w:hint="eastAsia" w:hAnsi="宋体"/>
          <w:color w:val="auto"/>
          <w:highlight w:val="none"/>
        </w:rPr>
        <w:t>中标</w:t>
      </w:r>
      <w:r>
        <w:rPr>
          <w:rFonts w:hAnsi="宋体"/>
          <w:color w:val="auto"/>
          <w:highlight w:val="none"/>
        </w:rPr>
        <w:t>服务费</w:t>
      </w:r>
      <w:r>
        <w:rPr>
          <w:rFonts w:hint="eastAsia" w:hAnsi="宋体"/>
          <w:color w:val="auto"/>
          <w:highlight w:val="none"/>
        </w:rPr>
        <w:t>。</w:t>
      </w:r>
    </w:p>
    <w:p w14:paraId="6F9B45AC">
      <w:pPr>
        <w:keepLines w:val="0"/>
        <w:pageBreakBefore w:val="0"/>
        <w:kinsoku/>
        <w:overflowPunct/>
        <w:autoSpaceDE w:val="0"/>
        <w:autoSpaceDN w:val="0"/>
        <w:bidi w:val="0"/>
        <w:snapToGrid w:val="0"/>
        <w:spacing w:line="360" w:lineRule="auto"/>
        <w:ind w:firstLine="480" w:firstLineChars="200"/>
        <w:rPr>
          <w:rFonts w:hAnsi="宋体"/>
          <w:color w:val="auto"/>
          <w:highlight w:val="none"/>
        </w:rPr>
      </w:pPr>
      <w:r>
        <w:rPr>
          <w:rFonts w:hint="eastAsia" w:hAnsi="宋体"/>
          <w:color w:val="auto"/>
          <w:highlight w:val="none"/>
        </w:rPr>
        <w:t>8、我方愿意提供贵方可能另外要求的，与投标有关的文件资料，并保证我方已提供和将要提供的文件资料是真实、准确的。</w:t>
      </w:r>
    </w:p>
    <w:p w14:paraId="542A2BCF">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p>
    <w:p w14:paraId="5F074255">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投标人名称（单位公章）：</w:t>
      </w:r>
    </w:p>
    <w:p w14:paraId="72D29527">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76EAE3B0">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联系电话：</w:t>
      </w:r>
    </w:p>
    <w:p w14:paraId="77929BEB">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传    真：</w:t>
      </w:r>
    </w:p>
    <w:p w14:paraId="652DB520">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通讯地址：</w:t>
      </w:r>
    </w:p>
    <w:p w14:paraId="189E18C0">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邮政编码：</w:t>
      </w:r>
    </w:p>
    <w:p w14:paraId="76494C24">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r>
        <w:rPr>
          <w:rFonts w:hint="eastAsia" w:hAnsi="宋体"/>
          <w:color w:val="auto"/>
          <w:highlight w:val="none"/>
        </w:rPr>
        <w:t>日    期：</w:t>
      </w:r>
    </w:p>
    <w:p w14:paraId="36B4B9C4">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 xml:space="preserve">二、承诺函 </w:t>
      </w:r>
    </w:p>
    <w:p w14:paraId="324654B4">
      <w:pPr>
        <w:keepLines w:val="0"/>
        <w:pageBreakBefore w:val="0"/>
        <w:kinsoku/>
        <w:overflowPunct/>
        <w:bidi w:val="0"/>
        <w:adjustRightInd w:val="0"/>
        <w:snapToGrid w:val="0"/>
        <w:spacing w:line="360" w:lineRule="auto"/>
        <w:rPr>
          <w:rFonts w:hint="default" w:ascii="宋体" w:hAnsi="宋体" w:cs="宋体"/>
          <w:color w:val="auto"/>
          <w:highlight w:val="none"/>
          <w:lang w:val="en-US" w:eastAsia="zh-CN"/>
        </w:rPr>
      </w:pPr>
      <w:r>
        <w:rPr>
          <w:rFonts w:hint="eastAsia" w:ascii="宋体" w:hAnsi="宋体" w:cs="宋体"/>
          <w:color w:val="auto"/>
          <w:highlight w:val="none"/>
          <w:lang w:eastAsia="zh-CN"/>
        </w:rPr>
        <w:t>四川凉都招标代理有限公司</w:t>
      </w:r>
      <w:r>
        <w:rPr>
          <w:rFonts w:hint="eastAsia" w:ascii="宋体" w:hAnsi="宋体" w:cs="宋体"/>
          <w:color w:val="auto"/>
          <w:highlight w:val="none"/>
          <w:lang w:val="en-US" w:eastAsia="zh-CN"/>
        </w:rPr>
        <w:t>:</w:t>
      </w:r>
    </w:p>
    <w:p w14:paraId="3060C223">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我公司作为本次采购项目的投标人，根据招标文件要求，现郑重承诺如下：</w:t>
      </w:r>
    </w:p>
    <w:p w14:paraId="33D88B0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一、具备《中华人民共和国政府采购法》第二十二条第一款和本项目规定的条件：</w:t>
      </w:r>
    </w:p>
    <w:p w14:paraId="6ECAA883">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 xml:space="preserve">（1）具有独立承担民事责任的能力； </w:t>
      </w:r>
    </w:p>
    <w:p w14:paraId="7B815AD4">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 xml:space="preserve">（2）具有良好的商业信誉和健全的财务会计制度； </w:t>
      </w:r>
    </w:p>
    <w:p w14:paraId="6E1B1F1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 xml:space="preserve">（3）具有履行合同所必需的设备和专业技术能力； </w:t>
      </w:r>
    </w:p>
    <w:p w14:paraId="596F80D9">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 xml:space="preserve">（4）有依法缴纳税收和社会保障资金的良好记录； </w:t>
      </w:r>
    </w:p>
    <w:p w14:paraId="54865D0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（5）参加政府采购活动前三年内，在经营活动中没有重大违法记录；</w:t>
      </w:r>
    </w:p>
    <w:p w14:paraId="3D4CF9D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（6）法律、行政法规规定的其他条件；</w:t>
      </w:r>
    </w:p>
    <w:p w14:paraId="318E6771">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（7）根据采购项目提出的特殊条件。</w:t>
      </w:r>
    </w:p>
    <w:p w14:paraId="404D9AE7">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2A840D2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三、参加本次招标采购活动，不存在与单位负责人为同一人或者存在直接控股、管理关系的其他供应商参与同一合同项下的政府采购活动的行为。我方未参与本采购项目前期咨询论证，不属于禁止参加本项目投标的供应商。</w:t>
      </w:r>
    </w:p>
    <w:p w14:paraId="622B445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四、参加本次招标采购活动，不存在和其他供应商在同一合同项下的采购项目中，同时委托同一个自然人、同一家庭的人员、同一单位的人员作为代理人的行为。</w:t>
      </w:r>
    </w:p>
    <w:p w14:paraId="59C58E7B">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五、我司未被对列入按财库[2016]125号规定的失信被执行人、重大税收违法案件当事人名单、政府采购严重违法失信行为记录名单及其他不符合《中华人民共和国政府采购法》第二十二条规定条件的供应商。</w:t>
      </w:r>
    </w:p>
    <w:p w14:paraId="3CD2FA93">
      <w:pPr>
        <w:keepLines w:val="0"/>
        <w:pageBreakBefore w:val="0"/>
        <w:kinsoku/>
        <w:overflowPunct/>
        <w:bidi w:val="0"/>
        <w:adjustRightInd w:val="0"/>
        <w:snapToGrid w:val="0"/>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六、如果有《四川省公共资源交易领域严重失信联合惩戒实施办法》（川发改信用规〔2019〕405号）、《关于对政府采购领域严重违法失信主体开展联合惩戒的合作备忘录》（发改财金〔2018〕1614号）规定的记入诚信档案的失信行为，将在投标文件中全面如实反映。</w:t>
      </w:r>
    </w:p>
    <w:p w14:paraId="4580C3F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七、投标文件中提供的能够给予我公司带来优惠、好处的任何材料资料和技术、服务、商务等响应承诺情况都是真实的、有效的、合法的。</w:t>
      </w:r>
    </w:p>
    <w:p w14:paraId="713B4FF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八、我司完全同意招标文件中关于知识产权的说明，承诺由此造成的纠纷由本单位全权负责。</w:t>
      </w:r>
    </w:p>
    <w:p w14:paraId="5E65DEF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九、国家或行业主管部门对采购产品的技术标准、质量标准和资格资质条件等有强制性规定的，我方承诺符合其要求。</w:t>
      </w:r>
    </w:p>
    <w:p w14:paraId="6982C37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本单位对上述承诺内容事项真实性负责。如经查实上述承诺的内容事项存在虚假，本单位愿意接受以提供虚假材料谋取中标追究法律责任。</w:t>
      </w:r>
    </w:p>
    <w:p w14:paraId="2C62F072">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p>
    <w:p w14:paraId="7F108BA7">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67D392CD">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6AE40817">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r>
        <w:rPr>
          <w:rFonts w:hint="eastAsia" w:hAnsi="宋体"/>
          <w:color w:val="auto"/>
          <w:highlight w:val="none"/>
        </w:rPr>
        <w:t>日期：</w:t>
      </w:r>
    </w:p>
    <w:p w14:paraId="1223B8B0">
      <w:pPr>
        <w:pStyle w:val="3"/>
        <w:keepLines w:val="0"/>
        <w:pageBreakBefore w:val="0"/>
        <w:kinsoku/>
        <w:overflowPunct/>
        <w:bidi w:val="0"/>
        <w:spacing w:line="360" w:lineRule="auto"/>
        <w:rPr>
          <w:rFonts w:hint="eastAsia"/>
          <w:color w:val="auto"/>
          <w:sz w:val="32"/>
          <w:szCs w:val="32"/>
          <w:highlight w:val="none"/>
          <w:lang w:val="en-US" w:eastAsia="zh-CN"/>
        </w:rPr>
      </w:pPr>
      <w:r>
        <w:rPr>
          <w:rFonts w:hint="eastAsia"/>
          <w:color w:val="auto"/>
          <w:sz w:val="32"/>
          <w:szCs w:val="32"/>
          <w:highlight w:val="none"/>
          <w:lang w:val="en-US" w:eastAsia="zh-CN"/>
        </w:rPr>
        <w:t>三、法定代表人授权书</w:t>
      </w:r>
    </w:p>
    <w:p w14:paraId="058A485A">
      <w:pPr>
        <w:keepLines w:val="0"/>
        <w:pageBreakBefore w:val="0"/>
        <w:kinsoku/>
        <w:overflowPunct/>
        <w:bidi w:val="0"/>
        <w:adjustRightInd w:val="0"/>
        <w:snapToGrid w:val="0"/>
        <w:spacing w:line="360" w:lineRule="auto"/>
        <w:rPr>
          <w:rFonts w:hint="eastAsia" w:ascii="宋体" w:hAnsi="宋体" w:cs="宋体"/>
          <w:color w:val="auto"/>
          <w:highlight w:val="none"/>
          <w:lang w:eastAsia="zh-CN"/>
        </w:rPr>
      </w:pPr>
      <w:r>
        <w:rPr>
          <w:rFonts w:hint="eastAsia" w:ascii="宋体" w:hAnsi="宋体" w:cs="宋体"/>
          <w:color w:val="auto"/>
          <w:highlight w:val="none"/>
          <w:lang w:eastAsia="zh-CN"/>
        </w:rPr>
        <w:t>四川凉都招标代理有限公司：</w:t>
      </w:r>
    </w:p>
    <w:p w14:paraId="677A0AF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本授权声明：（投标人名称）（法定代表人姓名、职务）授权（被授权人姓名、职务）为我方 “</w:t>
      </w:r>
      <w:r>
        <w:rPr>
          <w:rFonts w:hint="eastAsia" w:ascii="宋体" w:hAnsi="宋体" w:cs="宋体"/>
          <w:color w:val="auto"/>
          <w:highlight w:val="none"/>
          <w:lang w:val="en-US" w:eastAsia="zh-CN"/>
        </w:rPr>
        <w:t xml:space="preserve">      </w:t>
      </w:r>
      <w:r>
        <w:rPr>
          <w:rFonts w:hint="eastAsia" w:ascii="宋体" w:hAnsi="宋体" w:cs="宋体"/>
          <w:color w:val="auto"/>
          <w:highlight w:val="none"/>
        </w:rPr>
        <w:t>”项目（招标编号：</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）；投标活动的合法代表，以我方名义全权处理该项目有关投标、签订合同以及执行合同等一切事宜。</w:t>
      </w:r>
    </w:p>
    <w:p w14:paraId="062FAA34">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特此声明。</w:t>
      </w:r>
    </w:p>
    <w:p w14:paraId="0E84C0D4">
      <w:pPr>
        <w:pStyle w:val="28"/>
        <w:rPr>
          <w:rFonts w:hint="eastAsia" w:ascii="宋体" w:hAnsi="宋体" w:cs="宋体"/>
          <w:color w:val="auto"/>
          <w:highlight w:val="none"/>
        </w:rPr>
      </w:pPr>
    </w:p>
    <w:p w14:paraId="1D814101">
      <w:pPr>
        <w:pStyle w:val="28"/>
        <w:rPr>
          <w:rFonts w:hint="eastAsia" w:ascii="宋体" w:hAnsi="宋体" w:cs="宋体"/>
          <w:color w:val="auto"/>
          <w:highlight w:val="none"/>
        </w:rPr>
      </w:pPr>
    </w:p>
    <w:p w14:paraId="4745A967">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法定代表人签字或盖法定代表人名章：</w:t>
      </w:r>
    </w:p>
    <w:p w14:paraId="682EF375">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授权代表人（签字）：</w:t>
      </w:r>
    </w:p>
    <w:p w14:paraId="25D3FAD9">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4883086F">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日    期：</w:t>
      </w:r>
    </w:p>
    <w:p w14:paraId="1C78486E">
      <w:pPr>
        <w:pStyle w:val="28"/>
        <w:rPr>
          <w:rFonts w:hint="eastAsia" w:hAnsi="宋体"/>
          <w:color w:val="auto"/>
          <w:highlight w:val="none"/>
        </w:rPr>
      </w:pPr>
    </w:p>
    <w:p w14:paraId="66A82AED">
      <w:pPr>
        <w:pStyle w:val="28"/>
        <w:rPr>
          <w:rFonts w:hint="eastAsia" w:hAnsi="宋体"/>
          <w:color w:val="auto"/>
          <w:highlight w:val="none"/>
        </w:rPr>
      </w:pPr>
    </w:p>
    <w:p w14:paraId="6022FDEC">
      <w:pPr>
        <w:pStyle w:val="28"/>
        <w:rPr>
          <w:rFonts w:hint="eastAsia" w:hAnsi="宋体"/>
          <w:color w:val="auto"/>
          <w:highlight w:val="none"/>
        </w:rPr>
      </w:pPr>
    </w:p>
    <w:p w14:paraId="7594EF98">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注：（1）法定代表人不参与投标而委托代理人投标适用。</w:t>
      </w:r>
    </w:p>
    <w:p w14:paraId="6A939C60">
      <w:pPr>
        <w:keepNext w:val="0"/>
        <w:keepLines w:val="0"/>
        <w:pageBreakBefore w:val="0"/>
        <w:widowControl/>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color w:val="auto"/>
          <w:highlight w:val="none"/>
        </w:rPr>
        <w:t>（2）附法定代表人、授权代表身份证复印件加盖投标人公章。</w:t>
      </w:r>
    </w:p>
    <w:p w14:paraId="7F898D88">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四、法定代表人身份证明</w:t>
      </w:r>
    </w:p>
    <w:p w14:paraId="4598B04D">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default" w:ascii="宋体" w:hAnsi="宋体" w:cs="宋体"/>
          <w:color w:val="auto"/>
          <w:highlight w:val="none"/>
          <w:u w:val="single"/>
          <w:lang w:val="en-US" w:eastAsia="zh-CN"/>
        </w:rPr>
      </w:pPr>
      <w:r>
        <w:rPr>
          <w:rFonts w:hint="eastAsia" w:ascii="宋体" w:hAnsi="宋体" w:cs="宋体"/>
          <w:color w:val="auto"/>
          <w:highlight w:val="none"/>
          <w:u w:val="none"/>
        </w:rPr>
        <w:t>投标人名称</w:t>
      </w:r>
      <w:r>
        <w:rPr>
          <w:rFonts w:hint="eastAsia" w:ascii="宋体" w:hAnsi="宋体" w:cs="宋体"/>
          <w:color w:val="auto"/>
          <w:highlight w:val="none"/>
          <w:u w:val="none"/>
          <w:lang w:val="en-US" w:eastAsia="zh-CN"/>
        </w:rPr>
        <w:t>:</w:t>
      </w:r>
      <w:r>
        <w:rPr>
          <w:rFonts w:hint="eastAsia" w:ascii="宋体" w:hAnsi="宋体" w:cs="宋体"/>
          <w:color w:val="auto"/>
          <w:highlight w:val="none"/>
          <w:u w:val="single"/>
          <w:lang w:val="en-US" w:eastAsia="zh-CN"/>
        </w:rPr>
        <w:t xml:space="preserve">                           ；</w:t>
      </w:r>
    </w:p>
    <w:p w14:paraId="7A605237">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单位性质：</w:t>
      </w:r>
      <w:r>
        <w:rPr>
          <w:rFonts w:hint="eastAsia" w:ascii="宋体" w:hAnsi="宋体" w:cs="宋体"/>
          <w:color w:val="auto"/>
          <w:highlight w:val="none"/>
          <w:u w:val="single"/>
          <w:lang w:val="en-US" w:eastAsia="zh-CN"/>
        </w:rPr>
        <w:t xml:space="preserve">                           ；</w:t>
      </w:r>
    </w:p>
    <w:p w14:paraId="163C8367">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地址：</w:t>
      </w:r>
      <w:r>
        <w:rPr>
          <w:rFonts w:hint="eastAsia" w:ascii="宋体" w:hAnsi="宋体" w:cs="宋体"/>
          <w:color w:val="auto"/>
          <w:highlight w:val="none"/>
          <w:u w:val="single"/>
          <w:lang w:val="en-US" w:eastAsia="zh-CN"/>
        </w:rPr>
        <w:t xml:space="preserve">                           ；</w:t>
      </w:r>
    </w:p>
    <w:p w14:paraId="6ED7ACB4">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成立时间：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月</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日</w:t>
      </w:r>
    </w:p>
    <w:p w14:paraId="5317DFF5">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经营期限：</w:t>
      </w:r>
      <w:r>
        <w:rPr>
          <w:rFonts w:hint="eastAsia" w:ascii="宋体" w:hAnsi="宋体" w:cs="宋体"/>
          <w:color w:val="auto"/>
          <w:highlight w:val="none"/>
          <w:u w:val="single"/>
          <w:lang w:val="en-US" w:eastAsia="zh-CN"/>
        </w:rPr>
        <w:t xml:space="preserve">                           ；</w:t>
      </w:r>
    </w:p>
    <w:p w14:paraId="3E2D73C1">
      <w:pPr>
        <w:pStyle w:val="28"/>
        <w:rPr>
          <w:rFonts w:hint="eastAsia" w:hAnsi="宋体"/>
          <w:color w:val="auto"/>
          <w:highlight w:val="none"/>
        </w:rPr>
      </w:pPr>
    </w:p>
    <w:p w14:paraId="13C1542B">
      <w:pPr>
        <w:pStyle w:val="28"/>
        <w:rPr>
          <w:rFonts w:hint="eastAsia" w:hAnsi="宋体"/>
          <w:color w:val="auto"/>
          <w:highlight w:val="none"/>
        </w:rPr>
      </w:pPr>
    </w:p>
    <w:p w14:paraId="5BCD4688">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姓名：</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系</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（投标人名称）的法定代表人（职务：</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电话：</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w:t>
      </w:r>
    </w:p>
    <w:p w14:paraId="1D95C188">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p>
    <w:p w14:paraId="00C20078">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特此证明。</w:t>
      </w:r>
    </w:p>
    <w:p w14:paraId="488F33BE">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p>
    <w:p w14:paraId="0D111B54">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附：法定代表人身份证复印件</w:t>
      </w:r>
    </w:p>
    <w:p w14:paraId="0D6FD7AD">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336B6A68">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2C3FE4EC">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31DB4CC3">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法定代表人签字或者加盖法定代表人名章：</w:t>
      </w:r>
    </w:p>
    <w:p w14:paraId="1CF6F254">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日    期：</w:t>
      </w:r>
    </w:p>
    <w:p w14:paraId="13942704">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547E1A96">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66E19C01">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056D05ED">
      <w:pPr>
        <w:keepLines w:val="0"/>
        <w:pageBreakBefore w:val="0"/>
        <w:kinsoku/>
        <w:overflowPunct/>
        <w:bidi w:val="0"/>
        <w:adjustRightInd w:val="0"/>
        <w:snapToGrid w:val="0"/>
        <w:spacing w:line="360" w:lineRule="auto"/>
        <w:ind w:firstLine="482" w:firstLineChars="200"/>
        <w:rPr>
          <w:rFonts w:hint="eastAsia" w:ascii="宋体" w:hAnsi="宋体" w:cs="宋体"/>
          <w:b/>
          <w:bCs/>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b/>
          <w:bCs/>
          <w:color w:val="auto"/>
          <w:highlight w:val="none"/>
        </w:rPr>
        <w:t>注：：法定代表人投标而非委托代理人投标适用。</w:t>
      </w:r>
      <w:bookmarkStart w:id="142" w:name="_Toc217446086"/>
    </w:p>
    <w:p w14:paraId="33DE918C">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五、开标一览表</w:t>
      </w:r>
    </w:p>
    <w:p w14:paraId="5ABA3557">
      <w:pPr>
        <w:keepLines w:val="0"/>
        <w:pageBreakBefore w:val="0"/>
        <w:kinsoku/>
        <w:overflowPunct/>
        <w:bidi w:val="0"/>
        <w:spacing w:line="360" w:lineRule="auto"/>
        <w:rPr>
          <w:rFonts w:hint="eastAsia" w:hAnsi="宋体"/>
          <w:b/>
          <w:color w:val="auto"/>
          <w:highlight w:val="none"/>
        </w:rPr>
      </w:pPr>
      <w:r>
        <w:rPr>
          <w:rFonts w:hint="eastAsia" w:hAnsi="宋体"/>
          <w:b/>
          <w:color w:val="auto"/>
          <w:highlight w:val="none"/>
        </w:rPr>
        <w:t xml:space="preserve">项目名称：        </w:t>
      </w:r>
    </w:p>
    <w:p w14:paraId="28621316">
      <w:pPr>
        <w:keepLines w:val="0"/>
        <w:pageBreakBefore w:val="0"/>
        <w:kinsoku/>
        <w:overflowPunct/>
        <w:bidi w:val="0"/>
        <w:spacing w:line="360" w:lineRule="auto"/>
        <w:rPr>
          <w:rFonts w:hint="default" w:hAnsi="宋体" w:eastAsia="宋体"/>
          <w:b/>
          <w:bCs/>
          <w:color w:val="auto"/>
          <w:highlight w:val="none"/>
          <w:lang w:val="en-US" w:eastAsia="zh-CN"/>
        </w:rPr>
      </w:pPr>
      <w:r>
        <w:rPr>
          <w:rFonts w:hint="eastAsia" w:hAnsi="宋体"/>
          <w:b/>
          <w:color w:val="auto"/>
          <w:highlight w:val="none"/>
        </w:rPr>
        <w:t xml:space="preserve">招标编号： </w:t>
      </w:r>
      <w:r>
        <w:rPr>
          <w:rFonts w:hint="eastAsia" w:hAnsi="宋体"/>
          <w:b/>
          <w:color w:val="auto"/>
          <w:highlight w:val="none"/>
          <w:lang w:val="en-US" w:eastAsia="zh-CN"/>
        </w:rPr>
        <w:t xml:space="preserve">                  </w:t>
      </w:r>
    </w:p>
    <w:tbl>
      <w:tblPr>
        <w:tblStyle w:val="48"/>
        <w:tblW w:w="15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659"/>
        <w:gridCol w:w="2018"/>
        <w:gridCol w:w="2019"/>
        <w:gridCol w:w="1488"/>
        <w:gridCol w:w="1489"/>
        <w:gridCol w:w="1559"/>
        <w:gridCol w:w="1774"/>
        <w:gridCol w:w="1282"/>
      </w:tblGrid>
      <w:tr w14:paraId="17F0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83" w:type="dxa"/>
            <w:noWrap/>
            <w:vAlign w:val="center"/>
          </w:tcPr>
          <w:p w14:paraId="52AED2F9">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序号</w:t>
            </w:r>
          </w:p>
        </w:tc>
        <w:tc>
          <w:tcPr>
            <w:tcW w:w="2659" w:type="dxa"/>
            <w:noWrap/>
            <w:vAlign w:val="center"/>
          </w:tcPr>
          <w:p w14:paraId="4B57BA76">
            <w:pPr>
              <w:keepLines w:val="0"/>
              <w:pageBreakBefore w:val="0"/>
              <w:kinsoku/>
              <w:overflowPunct/>
              <w:bidi w:val="0"/>
              <w:spacing w:line="360" w:lineRule="auto"/>
              <w:jc w:val="center"/>
              <w:rPr>
                <w:rFonts w:hint="default" w:hAnsi="宋体" w:eastAsia="宋体"/>
                <w:b/>
                <w:color w:val="auto"/>
                <w:highlight w:val="none"/>
                <w:lang w:val="en-US" w:eastAsia="zh-CN"/>
              </w:rPr>
            </w:pPr>
            <w:r>
              <w:rPr>
                <w:rFonts w:hint="eastAsia" w:hAnsi="宋体"/>
                <w:b/>
                <w:color w:val="auto"/>
                <w:highlight w:val="none"/>
                <w:lang w:val="en-US" w:eastAsia="zh-CN"/>
              </w:rPr>
              <w:t>标的名称</w:t>
            </w:r>
          </w:p>
        </w:tc>
        <w:tc>
          <w:tcPr>
            <w:tcW w:w="2018" w:type="dxa"/>
            <w:noWrap/>
            <w:vAlign w:val="center"/>
          </w:tcPr>
          <w:p w14:paraId="72C18746">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制造商家</w:t>
            </w:r>
          </w:p>
        </w:tc>
        <w:tc>
          <w:tcPr>
            <w:tcW w:w="2019" w:type="dxa"/>
            <w:noWrap/>
            <w:vAlign w:val="center"/>
          </w:tcPr>
          <w:p w14:paraId="25C26FFB">
            <w:pPr>
              <w:keepLines w:val="0"/>
              <w:pageBreakBefore w:val="0"/>
              <w:kinsoku/>
              <w:overflowPunct/>
              <w:bidi w:val="0"/>
              <w:spacing w:line="360" w:lineRule="auto"/>
              <w:jc w:val="center"/>
              <w:rPr>
                <w:rFonts w:hint="default" w:hAnsi="宋体" w:eastAsia="宋体"/>
                <w:b/>
                <w:color w:val="auto"/>
                <w:highlight w:val="none"/>
                <w:lang w:val="en-US" w:eastAsia="zh-CN"/>
              </w:rPr>
            </w:pPr>
            <w:r>
              <w:rPr>
                <w:rFonts w:hint="eastAsia" w:hAnsi="宋体"/>
                <w:b/>
                <w:color w:val="auto"/>
                <w:highlight w:val="none"/>
              </w:rPr>
              <w:t>规格型号</w:t>
            </w:r>
            <w:r>
              <w:rPr>
                <w:rFonts w:hint="eastAsia" w:hAnsi="宋体"/>
                <w:b/>
                <w:color w:val="auto"/>
                <w:highlight w:val="none"/>
                <w:lang w:val="en-US" w:eastAsia="zh-CN"/>
              </w:rPr>
              <w:t>/品牌</w:t>
            </w:r>
          </w:p>
        </w:tc>
        <w:tc>
          <w:tcPr>
            <w:tcW w:w="1488" w:type="dxa"/>
            <w:noWrap/>
            <w:vAlign w:val="center"/>
          </w:tcPr>
          <w:p w14:paraId="6D332FDD">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lang w:val="en-US" w:eastAsia="zh-CN"/>
              </w:rPr>
              <w:t>数量</w:t>
            </w:r>
          </w:p>
        </w:tc>
        <w:tc>
          <w:tcPr>
            <w:tcW w:w="1489" w:type="dxa"/>
            <w:noWrap/>
            <w:vAlign w:val="center"/>
          </w:tcPr>
          <w:p w14:paraId="5B2EA8A7">
            <w:pPr>
              <w:keepLines w:val="0"/>
              <w:pageBreakBefore w:val="0"/>
              <w:kinsoku/>
              <w:overflowPunct/>
              <w:bidi w:val="0"/>
              <w:spacing w:line="360" w:lineRule="auto"/>
              <w:jc w:val="center"/>
              <w:rPr>
                <w:rFonts w:hint="eastAsia" w:hAnsi="宋体"/>
                <w:b/>
                <w:color w:val="auto"/>
                <w:highlight w:val="none"/>
                <w:lang w:val="en-US" w:eastAsia="zh-CN"/>
              </w:rPr>
            </w:pPr>
            <w:r>
              <w:rPr>
                <w:rFonts w:hint="eastAsia" w:hAnsi="宋体"/>
                <w:b/>
                <w:color w:val="auto"/>
                <w:highlight w:val="none"/>
                <w:lang w:val="en-US" w:eastAsia="zh-CN"/>
              </w:rPr>
              <w:t>投标单价（元）</w:t>
            </w:r>
          </w:p>
        </w:tc>
        <w:tc>
          <w:tcPr>
            <w:tcW w:w="1559" w:type="dxa"/>
            <w:noWrap/>
            <w:vAlign w:val="center"/>
          </w:tcPr>
          <w:p w14:paraId="3056DE48">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交货时间</w:t>
            </w:r>
          </w:p>
        </w:tc>
        <w:tc>
          <w:tcPr>
            <w:tcW w:w="1774" w:type="dxa"/>
            <w:noWrap/>
            <w:vAlign w:val="center"/>
          </w:tcPr>
          <w:p w14:paraId="0301FEB7">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交货地点</w:t>
            </w:r>
          </w:p>
        </w:tc>
        <w:tc>
          <w:tcPr>
            <w:tcW w:w="1282" w:type="dxa"/>
            <w:noWrap/>
            <w:vAlign w:val="center"/>
          </w:tcPr>
          <w:p w14:paraId="3A28645B">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备注</w:t>
            </w:r>
          </w:p>
        </w:tc>
      </w:tr>
      <w:tr w14:paraId="69E2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3" w:type="dxa"/>
            <w:noWrap/>
          </w:tcPr>
          <w:p w14:paraId="1EF44FAB">
            <w:pPr>
              <w:keepLines w:val="0"/>
              <w:pageBreakBefore w:val="0"/>
              <w:kinsoku/>
              <w:overflowPunct/>
              <w:bidi w:val="0"/>
              <w:spacing w:line="360" w:lineRule="auto"/>
              <w:jc w:val="center"/>
              <w:rPr>
                <w:rFonts w:hAnsi="宋体"/>
                <w:b/>
                <w:color w:val="auto"/>
                <w:highlight w:val="none"/>
              </w:rPr>
            </w:pPr>
          </w:p>
        </w:tc>
        <w:tc>
          <w:tcPr>
            <w:tcW w:w="2659" w:type="dxa"/>
            <w:noWrap/>
            <w:vAlign w:val="center"/>
          </w:tcPr>
          <w:p w14:paraId="5A6E4740">
            <w:pPr>
              <w:keepLines w:val="0"/>
              <w:pageBreakBefore w:val="0"/>
              <w:kinsoku/>
              <w:overflowPunct/>
              <w:bidi w:val="0"/>
              <w:spacing w:line="360" w:lineRule="auto"/>
              <w:jc w:val="center"/>
              <w:rPr>
                <w:rFonts w:hAnsi="宋体"/>
                <w:b/>
                <w:color w:val="auto"/>
                <w:highlight w:val="none"/>
              </w:rPr>
            </w:pPr>
          </w:p>
        </w:tc>
        <w:tc>
          <w:tcPr>
            <w:tcW w:w="2018" w:type="dxa"/>
            <w:noWrap/>
            <w:vAlign w:val="center"/>
          </w:tcPr>
          <w:p w14:paraId="30E7CE58">
            <w:pPr>
              <w:keepLines w:val="0"/>
              <w:pageBreakBefore w:val="0"/>
              <w:kinsoku/>
              <w:overflowPunct/>
              <w:bidi w:val="0"/>
              <w:spacing w:line="360" w:lineRule="auto"/>
              <w:jc w:val="center"/>
              <w:rPr>
                <w:rFonts w:hAnsi="宋体"/>
                <w:b/>
                <w:color w:val="auto"/>
                <w:highlight w:val="none"/>
              </w:rPr>
            </w:pPr>
          </w:p>
        </w:tc>
        <w:tc>
          <w:tcPr>
            <w:tcW w:w="2019" w:type="dxa"/>
            <w:noWrap/>
            <w:vAlign w:val="center"/>
          </w:tcPr>
          <w:p w14:paraId="7E5AC3E9">
            <w:pPr>
              <w:keepLines w:val="0"/>
              <w:pageBreakBefore w:val="0"/>
              <w:kinsoku/>
              <w:overflowPunct/>
              <w:bidi w:val="0"/>
              <w:spacing w:line="360" w:lineRule="auto"/>
              <w:jc w:val="center"/>
              <w:rPr>
                <w:rFonts w:hAnsi="宋体"/>
                <w:b/>
                <w:color w:val="auto"/>
                <w:highlight w:val="none"/>
              </w:rPr>
            </w:pPr>
          </w:p>
        </w:tc>
        <w:tc>
          <w:tcPr>
            <w:tcW w:w="1488" w:type="dxa"/>
            <w:noWrap/>
            <w:vAlign w:val="center"/>
          </w:tcPr>
          <w:p w14:paraId="4F5769F2">
            <w:pPr>
              <w:keepLines w:val="0"/>
              <w:pageBreakBefore w:val="0"/>
              <w:kinsoku/>
              <w:overflowPunct/>
              <w:bidi w:val="0"/>
              <w:spacing w:line="360" w:lineRule="auto"/>
              <w:jc w:val="center"/>
              <w:rPr>
                <w:rFonts w:hAnsi="宋体"/>
                <w:b/>
                <w:color w:val="auto"/>
                <w:highlight w:val="none"/>
              </w:rPr>
            </w:pPr>
          </w:p>
        </w:tc>
        <w:tc>
          <w:tcPr>
            <w:tcW w:w="1489" w:type="dxa"/>
            <w:noWrap/>
            <w:vAlign w:val="center"/>
          </w:tcPr>
          <w:p w14:paraId="3FB83136">
            <w:pPr>
              <w:keepLines w:val="0"/>
              <w:pageBreakBefore w:val="0"/>
              <w:kinsoku/>
              <w:overflowPunct/>
              <w:bidi w:val="0"/>
              <w:spacing w:line="360" w:lineRule="auto"/>
              <w:jc w:val="center"/>
              <w:rPr>
                <w:rFonts w:hAnsi="宋体"/>
                <w:b/>
                <w:color w:val="auto"/>
                <w:highlight w:val="none"/>
              </w:rPr>
            </w:pPr>
          </w:p>
        </w:tc>
        <w:tc>
          <w:tcPr>
            <w:tcW w:w="1559" w:type="dxa"/>
            <w:noWrap/>
            <w:vAlign w:val="center"/>
          </w:tcPr>
          <w:p w14:paraId="62214A3B">
            <w:pPr>
              <w:keepLines w:val="0"/>
              <w:pageBreakBefore w:val="0"/>
              <w:kinsoku/>
              <w:overflowPunct/>
              <w:bidi w:val="0"/>
              <w:spacing w:line="360" w:lineRule="auto"/>
              <w:jc w:val="center"/>
              <w:rPr>
                <w:rFonts w:hAnsi="宋体"/>
                <w:b/>
                <w:color w:val="auto"/>
                <w:highlight w:val="none"/>
              </w:rPr>
            </w:pPr>
          </w:p>
        </w:tc>
        <w:tc>
          <w:tcPr>
            <w:tcW w:w="1774" w:type="dxa"/>
            <w:noWrap/>
            <w:vAlign w:val="center"/>
          </w:tcPr>
          <w:p w14:paraId="0B46A035">
            <w:pPr>
              <w:keepLines w:val="0"/>
              <w:pageBreakBefore w:val="0"/>
              <w:kinsoku/>
              <w:overflowPunct/>
              <w:bidi w:val="0"/>
              <w:spacing w:line="360" w:lineRule="auto"/>
              <w:jc w:val="center"/>
              <w:rPr>
                <w:rFonts w:hAnsi="宋体"/>
                <w:b/>
                <w:color w:val="auto"/>
                <w:highlight w:val="none"/>
              </w:rPr>
            </w:pPr>
          </w:p>
        </w:tc>
        <w:tc>
          <w:tcPr>
            <w:tcW w:w="1282" w:type="dxa"/>
            <w:noWrap/>
            <w:vAlign w:val="center"/>
          </w:tcPr>
          <w:p w14:paraId="72466C79">
            <w:pPr>
              <w:keepLines w:val="0"/>
              <w:pageBreakBefore w:val="0"/>
              <w:kinsoku/>
              <w:overflowPunct/>
              <w:bidi w:val="0"/>
              <w:spacing w:line="360" w:lineRule="auto"/>
              <w:jc w:val="center"/>
              <w:rPr>
                <w:rFonts w:hAnsi="宋体"/>
                <w:b/>
                <w:color w:val="auto"/>
                <w:highlight w:val="none"/>
              </w:rPr>
            </w:pPr>
          </w:p>
        </w:tc>
      </w:tr>
      <w:tr w14:paraId="4670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3" w:type="dxa"/>
            <w:noWrap/>
          </w:tcPr>
          <w:p w14:paraId="438E7B7C">
            <w:pPr>
              <w:keepLines w:val="0"/>
              <w:pageBreakBefore w:val="0"/>
              <w:kinsoku/>
              <w:overflowPunct/>
              <w:bidi w:val="0"/>
              <w:spacing w:line="360" w:lineRule="auto"/>
              <w:jc w:val="center"/>
              <w:rPr>
                <w:rFonts w:hAnsi="宋体"/>
                <w:b/>
                <w:color w:val="auto"/>
                <w:highlight w:val="none"/>
              </w:rPr>
            </w:pPr>
          </w:p>
        </w:tc>
        <w:tc>
          <w:tcPr>
            <w:tcW w:w="2659" w:type="dxa"/>
            <w:noWrap/>
            <w:vAlign w:val="center"/>
          </w:tcPr>
          <w:p w14:paraId="56819EF1">
            <w:pPr>
              <w:keepLines w:val="0"/>
              <w:pageBreakBefore w:val="0"/>
              <w:kinsoku/>
              <w:overflowPunct/>
              <w:bidi w:val="0"/>
              <w:spacing w:line="360" w:lineRule="auto"/>
              <w:jc w:val="center"/>
              <w:rPr>
                <w:rFonts w:hAnsi="宋体"/>
                <w:b/>
                <w:color w:val="auto"/>
                <w:highlight w:val="none"/>
              </w:rPr>
            </w:pPr>
          </w:p>
        </w:tc>
        <w:tc>
          <w:tcPr>
            <w:tcW w:w="2018" w:type="dxa"/>
            <w:noWrap/>
            <w:vAlign w:val="center"/>
          </w:tcPr>
          <w:p w14:paraId="085479CC">
            <w:pPr>
              <w:keepLines w:val="0"/>
              <w:pageBreakBefore w:val="0"/>
              <w:kinsoku/>
              <w:overflowPunct/>
              <w:bidi w:val="0"/>
              <w:spacing w:line="360" w:lineRule="auto"/>
              <w:jc w:val="center"/>
              <w:rPr>
                <w:rFonts w:hAnsi="宋体"/>
                <w:b/>
                <w:color w:val="auto"/>
                <w:highlight w:val="none"/>
              </w:rPr>
            </w:pPr>
          </w:p>
        </w:tc>
        <w:tc>
          <w:tcPr>
            <w:tcW w:w="2019" w:type="dxa"/>
            <w:noWrap/>
            <w:vAlign w:val="center"/>
          </w:tcPr>
          <w:p w14:paraId="1546A9E2">
            <w:pPr>
              <w:keepLines w:val="0"/>
              <w:pageBreakBefore w:val="0"/>
              <w:kinsoku/>
              <w:overflowPunct/>
              <w:bidi w:val="0"/>
              <w:spacing w:line="360" w:lineRule="auto"/>
              <w:jc w:val="center"/>
              <w:rPr>
                <w:rFonts w:hAnsi="宋体"/>
                <w:b/>
                <w:color w:val="auto"/>
                <w:highlight w:val="none"/>
              </w:rPr>
            </w:pPr>
          </w:p>
        </w:tc>
        <w:tc>
          <w:tcPr>
            <w:tcW w:w="1488" w:type="dxa"/>
            <w:noWrap/>
            <w:vAlign w:val="center"/>
          </w:tcPr>
          <w:p w14:paraId="2EE6A527">
            <w:pPr>
              <w:keepLines w:val="0"/>
              <w:pageBreakBefore w:val="0"/>
              <w:kinsoku/>
              <w:overflowPunct/>
              <w:bidi w:val="0"/>
              <w:spacing w:line="360" w:lineRule="auto"/>
              <w:jc w:val="center"/>
              <w:rPr>
                <w:rFonts w:hAnsi="宋体"/>
                <w:b/>
                <w:color w:val="auto"/>
                <w:highlight w:val="none"/>
              </w:rPr>
            </w:pPr>
          </w:p>
        </w:tc>
        <w:tc>
          <w:tcPr>
            <w:tcW w:w="1489" w:type="dxa"/>
            <w:noWrap/>
            <w:vAlign w:val="center"/>
          </w:tcPr>
          <w:p w14:paraId="6C015066">
            <w:pPr>
              <w:keepLines w:val="0"/>
              <w:pageBreakBefore w:val="0"/>
              <w:kinsoku/>
              <w:overflowPunct/>
              <w:bidi w:val="0"/>
              <w:spacing w:line="360" w:lineRule="auto"/>
              <w:jc w:val="center"/>
              <w:rPr>
                <w:rFonts w:hAnsi="宋体"/>
                <w:b/>
                <w:color w:val="auto"/>
                <w:highlight w:val="none"/>
              </w:rPr>
            </w:pPr>
          </w:p>
        </w:tc>
        <w:tc>
          <w:tcPr>
            <w:tcW w:w="1559" w:type="dxa"/>
            <w:noWrap/>
            <w:vAlign w:val="center"/>
          </w:tcPr>
          <w:p w14:paraId="2394B0D0">
            <w:pPr>
              <w:keepLines w:val="0"/>
              <w:pageBreakBefore w:val="0"/>
              <w:kinsoku/>
              <w:overflowPunct/>
              <w:bidi w:val="0"/>
              <w:spacing w:line="360" w:lineRule="auto"/>
              <w:jc w:val="center"/>
              <w:rPr>
                <w:rFonts w:hAnsi="宋体"/>
                <w:b/>
                <w:color w:val="auto"/>
                <w:highlight w:val="none"/>
              </w:rPr>
            </w:pPr>
          </w:p>
        </w:tc>
        <w:tc>
          <w:tcPr>
            <w:tcW w:w="1774" w:type="dxa"/>
            <w:noWrap/>
            <w:vAlign w:val="center"/>
          </w:tcPr>
          <w:p w14:paraId="783676B3">
            <w:pPr>
              <w:keepLines w:val="0"/>
              <w:pageBreakBefore w:val="0"/>
              <w:kinsoku/>
              <w:overflowPunct/>
              <w:bidi w:val="0"/>
              <w:spacing w:line="360" w:lineRule="auto"/>
              <w:jc w:val="center"/>
              <w:rPr>
                <w:rFonts w:hAnsi="宋体"/>
                <w:b/>
                <w:color w:val="auto"/>
                <w:highlight w:val="none"/>
              </w:rPr>
            </w:pPr>
          </w:p>
        </w:tc>
        <w:tc>
          <w:tcPr>
            <w:tcW w:w="1282" w:type="dxa"/>
            <w:noWrap/>
            <w:vAlign w:val="center"/>
          </w:tcPr>
          <w:p w14:paraId="6258F288">
            <w:pPr>
              <w:keepLines w:val="0"/>
              <w:pageBreakBefore w:val="0"/>
              <w:kinsoku/>
              <w:overflowPunct/>
              <w:bidi w:val="0"/>
              <w:spacing w:line="360" w:lineRule="auto"/>
              <w:jc w:val="center"/>
              <w:rPr>
                <w:rFonts w:hAnsi="宋体"/>
                <w:b/>
                <w:color w:val="auto"/>
                <w:highlight w:val="none"/>
              </w:rPr>
            </w:pPr>
          </w:p>
        </w:tc>
      </w:tr>
      <w:tr w14:paraId="6048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071" w:type="dxa"/>
            <w:gridSpan w:val="9"/>
            <w:noWrap/>
          </w:tcPr>
          <w:p w14:paraId="509113B6">
            <w:pPr>
              <w:keepLines w:val="0"/>
              <w:pageBreakBefore w:val="0"/>
              <w:kinsoku/>
              <w:overflowPunct/>
              <w:bidi w:val="0"/>
              <w:spacing w:line="360" w:lineRule="auto"/>
              <w:rPr>
                <w:rFonts w:hAnsi="宋体"/>
                <w:b/>
                <w:color w:val="auto"/>
                <w:highlight w:val="none"/>
              </w:rPr>
            </w:pPr>
            <w:r>
              <w:rPr>
                <w:rFonts w:hint="eastAsia" w:hAnsi="宋体"/>
                <w:b/>
                <w:color w:val="auto"/>
                <w:highlight w:val="none"/>
                <w:lang w:val="en-US" w:eastAsia="zh-CN"/>
              </w:rPr>
              <w:t>报价合计</w:t>
            </w:r>
            <w:r>
              <w:rPr>
                <w:rFonts w:hint="eastAsia" w:hAnsi="宋体"/>
                <w:b/>
                <w:color w:val="auto"/>
                <w:highlight w:val="none"/>
              </w:rPr>
              <w:t>（</w:t>
            </w:r>
            <w:r>
              <w:rPr>
                <w:rFonts w:hint="eastAsia" w:hAnsi="宋体"/>
                <w:b/>
                <w:color w:val="auto"/>
                <w:highlight w:val="none"/>
                <w:lang w:val="en-US" w:eastAsia="zh-CN"/>
              </w:rPr>
              <w:t>万元</w:t>
            </w:r>
            <w:r>
              <w:rPr>
                <w:rFonts w:hint="eastAsia" w:hAnsi="宋体"/>
                <w:b/>
                <w:color w:val="auto"/>
                <w:highlight w:val="none"/>
              </w:rPr>
              <w:t>）：                大写：</w:t>
            </w:r>
          </w:p>
        </w:tc>
      </w:tr>
    </w:tbl>
    <w:p w14:paraId="33F94879">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val="en-US" w:eastAsia="zh-CN"/>
        </w:rPr>
        <w:t>1、</w:t>
      </w:r>
      <w:r>
        <w:rPr>
          <w:rFonts w:hint="eastAsia" w:ascii="宋体" w:hAnsi="宋体" w:cs="宋体"/>
          <w:color w:val="auto"/>
          <w:highlight w:val="none"/>
        </w:rPr>
        <w:t>报价应是最终用户验收合格后的总价，包括货物运输、保险、代理、安装调试、培训、税费、系统集成费用和招标文件规定的其它费用。</w:t>
      </w:r>
    </w:p>
    <w:p w14:paraId="1067BA84">
      <w:pPr>
        <w:pStyle w:val="18"/>
        <w:rPr>
          <w:rFonts w:hint="eastAsia" w:eastAsia="宋体"/>
          <w:lang w:val="en-US" w:eastAsia="zh-CN"/>
        </w:rPr>
      </w:pPr>
      <w:r>
        <w:rPr>
          <w:rFonts w:hint="eastAsia" w:ascii="宋体" w:hAnsi="宋体" w:cs="宋体"/>
          <w:color w:val="auto"/>
          <w:highlight w:val="none"/>
          <w:lang w:val="en-US" w:eastAsia="zh-CN"/>
        </w:rPr>
        <w:t xml:space="preserve">       </w:t>
      </w:r>
      <w:r>
        <w:rPr>
          <w:rFonts w:hint="eastAsia" w:ascii="宋体" w:hAnsi="宋体" w:eastAsia="宋体" w:cs="宋体"/>
          <w:color w:val="auto"/>
          <w:kern w:val="0"/>
          <w:sz w:val="24"/>
          <w:szCs w:val="24"/>
          <w:highlight w:val="none"/>
          <w:lang w:val="en-US" w:eastAsia="zh-CN" w:bidi="ar-SA"/>
        </w:rPr>
        <w:t xml:space="preserve"> </w:t>
      </w:r>
      <w:r>
        <w:rPr>
          <w:rFonts w:hint="eastAsia" w:ascii="宋体" w:hAnsi="宋体" w:cs="宋体"/>
          <w:color w:val="auto"/>
          <w:kern w:val="0"/>
          <w:sz w:val="24"/>
          <w:szCs w:val="24"/>
          <w:highlight w:val="none"/>
          <w:lang w:val="en-US" w:eastAsia="zh-CN" w:bidi="ar-SA"/>
        </w:rPr>
        <w:t xml:space="preserve"> </w:t>
      </w:r>
      <w:r>
        <w:rPr>
          <w:rFonts w:hint="eastAsia" w:ascii="宋体" w:hAnsi="宋体" w:eastAsia="宋体" w:cs="宋体"/>
          <w:b/>
          <w:bCs/>
          <w:color w:val="auto"/>
          <w:kern w:val="0"/>
          <w:sz w:val="24"/>
          <w:szCs w:val="24"/>
          <w:highlight w:val="none"/>
          <w:lang w:val="en-US" w:eastAsia="zh-CN" w:bidi="ar-SA"/>
        </w:rPr>
        <w:t>2、</w:t>
      </w:r>
      <w:r>
        <w:rPr>
          <w:rFonts w:ascii="宋体" w:hAnsi="宋体" w:eastAsia="宋体" w:cs="宋体"/>
          <w:b/>
          <w:bCs/>
          <w:sz w:val="24"/>
          <w:szCs w:val="24"/>
        </w:rPr>
        <w:t>投标人须按本表要求完善全部内容，加盖单位公章并上传至指定平台，否则报价不予认定为有效报价。</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实质性要求</w:t>
      </w:r>
      <w:r>
        <w:rPr>
          <w:rFonts w:hint="eastAsia" w:ascii="宋体" w:hAnsi="宋体" w:eastAsia="宋体" w:cs="宋体"/>
          <w:b/>
          <w:bCs/>
          <w:sz w:val="24"/>
          <w:szCs w:val="24"/>
          <w:lang w:eastAsia="zh-CN"/>
        </w:rPr>
        <w:t>）</w:t>
      </w:r>
    </w:p>
    <w:p w14:paraId="354EC2E6">
      <w:pPr>
        <w:keepLines w:val="0"/>
        <w:pageBreakBefore w:val="0"/>
        <w:tabs>
          <w:tab w:val="left" w:pos="10708"/>
        </w:tabs>
        <w:kinsoku/>
        <w:overflowPunct/>
        <w:autoSpaceDE w:val="0"/>
        <w:autoSpaceDN w:val="0"/>
        <w:bidi w:val="0"/>
        <w:snapToGrid w:val="0"/>
        <w:spacing w:line="360" w:lineRule="auto"/>
        <w:ind w:firstLine="480" w:firstLineChars="200"/>
        <w:rPr>
          <w:rFonts w:hint="eastAsia" w:hAnsi="宋体" w:eastAsia="宋体"/>
          <w:color w:val="auto"/>
          <w:highlight w:val="none"/>
          <w:lang w:eastAsia="zh-CN"/>
        </w:rPr>
      </w:pPr>
      <w:r>
        <w:rPr>
          <w:rFonts w:hint="eastAsia" w:hAnsi="宋体"/>
          <w:color w:val="auto"/>
          <w:highlight w:val="none"/>
          <w:lang w:eastAsia="zh-CN"/>
        </w:rPr>
        <w:tab/>
      </w:r>
    </w:p>
    <w:p w14:paraId="3F368753">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5C7CBC5A">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049C3CB8">
      <w:pPr>
        <w:keepLines w:val="0"/>
        <w:pageBreakBefore w:val="0"/>
        <w:kinsoku/>
        <w:overflowPunct/>
        <w:autoSpaceDE w:val="0"/>
        <w:autoSpaceDN w:val="0"/>
        <w:bidi w:val="0"/>
        <w:snapToGrid w:val="0"/>
        <w:spacing w:line="360" w:lineRule="auto"/>
        <w:ind w:firstLine="480" w:firstLineChars="200"/>
        <w:rPr>
          <w:rFonts w:hAnsi="宋体"/>
          <w:bCs/>
          <w:color w:val="auto"/>
          <w:highlight w:val="none"/>
        </w:rPr>
        <w:sectPr>
          <w:headerReference r:id="rId20" w:type="first"/>
          <w:headerReference r:id="rId19" w:type="even"/>
          <w:pgSz w:w="16840" w:h="11907" w:orient="landscape"/>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r>
        <w:rPr>
          <w:rFonts w:hint="eastAsia" w:hAnsi="宋体"/>
          <w:color w:val="auto"/>
          <w:highlight w:val="none"/>
        </w:rPr>
        <w:t>日期：</w:t>
      </w:r>
    </w:p>
    <w:bookmarkEnd w:id="142"/>
    <w:p w14:paraId="6E4B5A82">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六、分项报价明细表</w:t>
      </w:r>
    </w:p>
    <w:p w14:paraId="728996DE">
      <w:pPr>
        <w:keepNext w:val="0"/>
        <w:keepLines w:val="0"/>
        <w:pageBreakBefore w:val="0"/>
        <w:widowControl/>
        <w:kinsoku/>
        <w:wordWrap/>
        <w:overflowPunct/>
        <w:topLinePunct w:val="0"/>
        <w:autoSpaceDE/>
        <w:autoSpaceDN/>
        <w:bidi w:val="0"/>
        <w:spacing w:line="360" w:lineRule="auto"/>
        <w:textAlignment w:val="auto"/>
        <w:rPr>
          <w:rFonts w:hint="eastAsia" w:hAnsi="宋体"/>
          <w:b/>
          <w:color w:val="auto"/>
          <w:highlight w:val="none"/>
        </w:rPr>
      </w:pPr>
      <w:r>
        <w:rPr>
          <w:rFonts w:hint="eastAsia" w:hAnsi="宋体"/>
          <w:b/>
          <w:color w:val="auto"/>
          <w:highlight w:val="none"/>
        </w:rPr>
        <w:t xml:space="preserve">项目名称：   </w:t>
      </w:r>
    </w:p>
    <w:p w14:paraId="7A45403D">
      <w:pPr>
        <w:keepNext w:val="0"/>
        <w:keepLines w:val="0"/>
        <w:pageBreakBefore w:val="0"/>
        <w:widowControl/>
        <w:kinsoku/>
        <w:wordWrap/>
        <w:overflowPunct/>
        <w:topLinePunct w:val="0"/>
        <w:autoSpaceDE/>
        <w:autoSpaceDN/>
        <w:bidi w:val="0"/>
        <w:spacing w:line="360" w:lineRule="auto"/>
        <w:textAlignment w:val="auto"/>
        <w:rPr>
          <w:rFonts w:hint="default" w:hAnsi="宋体" w:eastAsia="宋体"/>
          <w:b/>
          <w:color w:val="auto"/>
          <w:highlight w:val="none"/>
          <w:lang w:val="en-US" w:eastAsia="zh-CN"/>
        </w:rPr>
      </w:pPr>
      <w:r>
        <w:rPr>
          <w:rFonts w:hint="eastAsia" w:hAnsi="宋体"/>
          <w:b/>
          <w:color w:val="auto"/>
          <w:highlight w:val="none"/>
        </w:rPr>
        <w:t xml:space="preserve">招标编号： </w:t>
      </w:r>
      <w:r>
        <w:rPr>
          <w:rFonts w:hint="eastAsia" w:hAnsi="宋体"/>
          <w:b/>
          <w:color w:val="auto"/>
          <w:highlight w:val="none"/>
          <w:lang w:val="en-US" w:eastAsia="zh-CN"/>
        </w:rPr>
        <w:t xml:space="preserve">                         </w:t>
      </w:r>
    </w:p>
    <w:tbl>
      <w:tblPr>
        <w:tblStyle w:val="48"/>
        <w:tblW w:w="10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41"/>
        <w:gridCol w:w="1360"/>
        <w:gridCol w:w="888"/>
        <w:gridCol w:w="1212"/>
        <w:gridCol w:w="840"/>
        <w:gridCol w:w="1717"/>
        <w:gridCol w:w="843"/>
        <w:gridCol w:w="843"/>
      </w:tblGrid>
      <w:tr w14:paraId="1CDF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exact"/>
          <w:jc w:val="center"/>
        </w:trPr>
        <w:tc>
          <w:tcPr>
            <w:tcW w:w="862" w:type="dxa"/>
            <w:noWrap w:val="0"/>
            <w:vAlign w:val="center"/>
          </w:tcPr>
          <w:p w14:paraId="17302409">
            <w:pPr>
              <w:keepNext w:val="0"/>
              <w:keepLines w:val="0"/>
              <w:pageBreakBefore w:val="0"/>
              <w:widowControl/>
              <w:kinsoku/>
              <w:wordWrap/>
              <w:overflowPunct/>
              <w:topLinePunct w:val="0"/>
              <w:autoSpaceDE/>
              <w:autoSpaceDN/>
              <w:bidi w:val="0"/>
              <w:spacing w:line="360" w:lineRule="auto"/>
              <w:jc w:val="center"/>
              <w:textAlignment w:val="auto"/>
              <w:outlineLvl w:val="1"/>
              <w:rPr>
                <w:rFonts w:hint="eastAsia"/>
                <w:color w:val="auto"/>
                <w:highlight w:val="none"/>
              </w:rPr>
            </w:pPr>
            <w:bookmarkStart w:id="143" w:name="_Toc217446087"/>
            <w:r>
              <w:rPr>
                <w:rFonts w:hint="eastAsia"/>
                <w:color w:val="auto"/>
                <w:highlight w:val="none"/>
              </w:rPr>
              <w:t>序号</w:t>
            </w:r>
          </w:p>
        </w:tc>
        <w:tc>
          <w:tcPr>
            <w:tcW w:w="2041" w:type="dxa"/>
            <w:noWrap w:val="0"/>
            <w:vAlign w:val="center"/>
          </w:tcPr>
          <w:p w14:paraId="1594E8E9">
            <w:pPr>
              <w:keepNext w:val="0"/>
              <w:keepLines w:val="0"/>
              <w:pageBreakBefore w:val="0"/>
              <w:widowControl/>
              <w:kinsoku/>
              <w:wordWrap/>
              <w:overflowPunct/>
              <w:topLinePunct w:val="0"/>
              <w:autoSpaceDE/>
              <w:autoSpaceDN/>
              <w:bidi w:val="0"/>
              <w:spacing w:line="360" w:lineRule="auto"/>
              <w:jc w:val="center"/>
              <w:textAlignment w:val="auto"/>
              <w:outlineLvl w:val="1"/>
              <w:rPr>
                <w:rFonts w:hint="eastAsia"/>
                <w:color w:val="auto"/>
                <w:highlight w:val="none"/>
              </w:rPr>
            </w:pPr>
            <w:r>
              <w:rPr>
                <w:rFonts w:hint="eastAsia"/>
                <w:color w:val="auto"/>
                <w:highlight w:val="none"/>
              </w:rPr>
              <w:t>产品名称</w:t>
            </w:r>
          </w:p>
        </w:tc>
        <w:tc>
          <w:tcPr>
            <w:tcW w:w="1360" w:type="dxa"/>
            <w:noWrap w:val="0"/>
            <w:vAlign w:val="center"/>
          </w:tcPr>
          <w:p w14:paraId="245371F0">
            <w:pPr>
              <w:keepNext w:val="0"/>
              <w:keepLines w:val="0"/>
              <w:pageBreakBefore w:val="0"/>
              <w:widowControl/>
              <w:kinsoku/>
              <w:wordWrap/>
              <w:overflowPunct/>
              <w:topLinePunct w:val="0"/>
              <w:autoSpaceDE/>
              <w:autoSpaceDN/>
              <w:bidi w:val="0"/>
              <w:spacing w:line="360" w:lineRule="auto"/>
              <w:jc w:val="center"/>
              <w:textAlignment w:val="auto"/>
              <w:outlineLvl w:val="1"/>
              <w:rPr>
                <w:rFonts w:hint="eastAsia"/>
                <w:color w:val="auto"/>
                <w:highlight w:val="none"/>
              </w:rPr>
            </w:pPr>
            <w:r>
              <w:rPr>
                <w:rFonts w:hint="eastAsia"/>
                <w:color w:val="auto"/>
                <w:highlight w:val="none"/>
              </w:rPr>
              <w:t>规格型号</w:t>
            </w:r>
          </w:p>
        </w:tc>
        <w:tc>
          <w:tcPr>
            <w:tcW w:w="888" w:type="dxa"/>
            <w:noWrap w:val="0"/>
            <w:vAlign w:val="center"/>
          </w:tcPr>
          <w:p w14:paraId="01B9BC63">
            <w:pPr>
              <w:keepNext w:val="0"/>
              <w:keepLines w:val="0"/>
              <w:pageBreakBefore w:val="0"/>
              <w:widowControl/>
              <w:kinsoku/>
              <w:wordWrap/>
              <w:overflowPunct/>
              <w:topLinePunct w:val="0"/>
              <w:autoSpaceDE/>
              <w:autoSpaceDN/>
              <w:bidi w:val="0"/>
              <w:spacing w:line="360" w:lineRule="auto"/>
              <w:jc w:val="center"/>
              <w:textAlignment w:val="auto"/>
              <w:outlineLvl w:val="1"/>
              <w:rPr>
                <w:rFonts w:hint="eastAsia"/>
                <w:color w:val="auto"/>
                <w:highlight w:val="none"/>
              </w:rPr>
            </w:pPr>
            <w:r>
              <w:rPr>
                <w:rFonts w:hint="eastAsia"/>
                <w:color w:val="auto"/>
                <w:highlight w:val="none"/>
              </w:rPr>
              <w:t>品牌</w:t>
            </w:r>
          </w:p>
        </w:tc>
        <w:tc>
          <w:tcPr>
            <w:tcW w:w="1212" w:type="dxa"/>
            <w:noWrap w:val="0"/>
            <w:vAlign w:val="center"/>
          </w:tcPr>
          <w:p w14:paraId="37202E9B">
            <w:pPr>
              <w:keepNext w:val="0"/>
              <w:keepLines w:val="0"/>
              <w:pageBreakBefore w:val="0"/>
              <w:widowControl/>
              <w:kinsoku/>
              <w:wordWrap/>
              <w:overflowPunct/>
              <w:topLinePunct w:val="0"/>
              <w:autoSpaceDE/>
              <w:autoSpaceDN/>
              <w:bidi w:val="0"/>
              <w:spacing w:line="360" w:lineRule="auto"/>
              <w:jc w:val="center"/>
              <w:textAlignment w:val="auto"/>
              <w:outlineLvl w:val="1"/>
              <w:rPr>
                <w:rFonts w:hint="eastAsia"/>
                <w:color w:val="auto"/>
                <w:highlight w:val="none"/>
              </w:rPr>
            </w:pPr>
            <w:r>
              <w:rPr>
                <w:rFonts w:hint="eastAsia"/>
                <w:color w:val="auto"/>
                <w:highlight w:val="none"/>
              </w:rPr>
              <w:t>单位</w:t>
            </w:r>
          </w:p>
        </w:tc>
        <w:tc>
          <w:tcPr>
            <w:tcW w:w="840" w:type="dxa"/>
            <w:noWrap w:val="0"/>
            <w:vAlign w:val="center"/>
          </w:tcPr>
          <w:p w14:paraId="62321177">
            <w:pPr>
              <w:keepNext w:val="0"/>
              <w:keepLines w:val="0"/>
              <w:pageBreakBefore w:val="0"/>
              <w:widowControl/>
              <w:kinsoku/>
              <w:wordWrap/>
              <w:overflowPunct/>
              <w:topLinePunct w:val="0"/>
              <w:autoSpaceDE/>
              <w:autoSpaceDN/>
              <w:bidi w:val="0"/>
              <w:spacing w:line="360" w:lineRule="auto"/>
              <w:jc w:val="center"/>
              <w:textAlignment w:val="auto"/>
              <w:outlineLvl w:val="1"/>
              <w:rPr>
                <w:rFonts w:hint="eastAsia"/>
                <w:color w:val="auto"/>
                <w:highlight w:val="none"/>
              </w:rPr>
            </w:pPr>
            <w:r>
              <w:rPr>
                <w:rFonts w:hint="eastAsia"/>
                <w:color w:val="auto"/>
                <w:highlight w:val="none"/>
              </w:rPr>
              <w:t>数量</w:t>
            </w:r>
          </w:p>
        </w:tc>
        <w:tc>
          <w:tcPr>
            <w:tcW w:w="1717" w:type="dxa"/>
            <w:noWrap w:val="0"/>
            <w:vAlign w:val="center"/>
          </w:tcPr>
          <w:p w14:paraId="2000D83C">
            <w:pPr>
              <w:keepNext w:val="0"/>
              <w:keepLines w:val="0"/>
              <w:pageBreakBefore w:val="0"/>
              <w:widowControl/>
              <w:kinsoku/>
              <w:wordWrap/>
              <w:overflowPunct/>
              <w:topLinePunct w:val="0"/>
              <w:autoSpaceDE/>
              <w:autoSpaceDN/>
              <w:bidi w:val="0"/>
              <w:spacing w:line="360" w:lineRule="auto"/>
              <w:jc w:val="center"/>
              <w:textAlignment w:val="auto"/>
              <w:outlineLvl w:val="1"/>
              <w:rPr>
                <w:rFonts w:hint="eastAsia"/>
                <w:color w:val="auto"/>
                <w:highlight w:val="none"/>
                <w:lang w:val="en-US" w:eastAsia="zh-CN"/>
              </w:rPr>
            </w:pPr>
            <w:r>
              <w:rPr>
                <w:rFonts w:hint="eastAsia"/>
                <w:color w:val="auto"/>
                <w:highlight w:val="none"/>
                <w:lang w:val="en-US" w:eastAsia="zh-CN"/>
              </w:rPr>
              <w:t>投标单价</w:t>
            </w:r>
          </w:p>
          <w:p w14:paraId="08A82EAA">
            <w:pPr>
              <w:keepNext w:val="0"/>
              <w:keepLines w:val="0"/>
              <w:pageBreakBefore w:val="0"/>
              <w:widowControl/>
              <w:kinsoku/>
              <w:wordWrap/>
              <w:overflowPunct/>
              <w:topLinePunct w:val="0"/>
              <w:autoSpaceDE/>
              <w:autoSpaceDN/>
              <w:bidi w:val="0"/>
              <w:spacing w:line="360" w:lineRule="auto"/>
              <w:jc w:val="center"/>
              <w:textAlignment w:val="auto"/>
              <w:outlineLvl w:val="1"/>
              <w:rPr>
                <w:rFonts w:hint="default" w:eastAsia="宋体"/>
                <w:color w:val="auto"/>
                <w:highlight w:val="none"/>
                <w:lang w:val="en-US" w:eastAsia="zh-CN"/>
              </w:rPr>
            </w:pPr>
            <w:r>
              <w:rPr>
                <w:rFonts w:hint="eastAsia"/>
                <w:color w:val="auto"/>
                <w:highlight w:val="none"/>
                <w:lang w:val="en-US" w:eastAsia="zh-CN"/>
              </w:rPr>
              <w:t>（元）</w:t>
            </w:r>
          </w:p>
        </w:tc>
        <w:tc>
          <w:tcPr>
            <w:tcW w:w="843" w:type="dxa"/>
            <w:noWrap w:val="0"/>
            <w:vAlign w:val="center"/>
          </w:tcPr>
          <w:p w14:paraId="3279C3DD">
            <w:pPr>
              <w:keepNext w:val="0"/>
              <w:keepLines w:val="0"/>
              <w:pageBreakBefore w:val="0"/>
              <w:widowControl/>
              <w:kinsoku/>
              <w:wordWrap/>
              <w:overflowPunct/>
              <w:topLinePunct w:val="0"/>
              <w:autoSpaceDE/>
              <w:autoSpaceDN/>
              <w:bidi w:val="0"/>
              <w:spacing w:line="360" w:lineRule="auto"/>
              <w:jc w:val="center"/>
              <w:textAlignment w:val="auto"/>
              <w:outlineLvl w:val="1"/>
              <w:rPr>
                <w:rFonts w:hint="default"/>
                <w:color w:val="auto"/>
                <w:highlight w:val="none"/>
                <w:lang w:val="en-US" w:eastAsia="zh-CN"/>
              </w:rPr>
            </w:pPr>
            <w:r>
              <w:rPr>
                <w:rFonts w:hint="eastAsia"/>
                <w:color w:val="auto"/>
                <w:highlight w:val="none"/>
                <w:lang w:val="en-US" w:eastAsia="zh-CN"/>
              </w:rPr>
              <w:t>合计（元）</w:t>
            </w:r>
          </w:p>
        </w:tc>
        <w:tc>
          <w:tcPr>
            <w:tcW w:w="843" w:type="dxa"/>
            <w:noWrap w:val="0"/>
            <w:vAlign w:val="center"/>
          </w:tcPr>
          <w:p w14:paraId="47FBC89C">
            <w:pPr>
              <w:keepNext w:val="0"/>
              <w:keepLines w:val="0"/>
              <w:pageBreakBefore w:val="0"/>
              <w:widowControl/>
              <w:kinsoku/>
              <w:wordWrap/>
              <w:overflowPunct/>
              <w:topLinePunct w:val="0"/>
              <w:autoSpaceDE/>
              <w:autoSpaceDN/>
              <w:bidi w:val="0"/>
              <w:spacing w:line="360" w:lineRule="auto"/>
              <w:textAlignment w:val="auto"/>
              <w:outlineLvl w:val="1"/>
              <w:rPr>
                <w:rFonts w:hint="eastAsia"/>
                <w:color w:val="auto"/>
                <w:highlight w:val="none"/>
              </w:rPr>
            </w:pPr>
            <w:r>
              <w:rPr>
                <w:rFonts w:hint="eastAsia"/>
                <w:color w:val="auto"/>
                <w:highlight w:val="none"/>
              </w:rPr>
              <w:t>备注</w:t>
            </w:r>
          </w:p>
        </w:tc>
      </w:tr>
      <w:tr w14:paraId="47F1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noWrap w:val="0"/>
            <w:vAlign w:val="center"/>
          </w:tcPr>
          <w:p w14:paraId="79890512">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2041" w:type="dxa"/>
            <w:noWrap w:val="0"/>
            <w:vAlign w:val="center"/>
          </w:tcPr>
          <w:p w14:paraId="6AC38657">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360" w:type="dxa"/>
            <w:noWrap w:val="0"/>
            <w:vAlign w:val="center"/>
          </w:tcPr>
          <w:p w14:paraId="72D77929">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88" w:type="dxa"/>
            <w:noWrap w:val="0"/>
            <w:vAlign w:val="center"/>
          </w:tcPr>
          <w:p w14:paraId="64F30D1A">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212" w:type="dxa"/>
            <w:noWrap w:val="0"/>
            <w:vAlign w:val="center"/>
          </w:tcPr>
          <w:p w14:paraId="69EE79D2">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0" w:type="dxa"/>
            <w:noWrap w:val="0"/>
            <w:vAlign w:val="center"/>
          </w:tcPr>
          <w:p w14:paraId="368DB2FC">
            <w:pPr>
              <w:keepNext w:val="0"/>
              <w:keepLines w:val="0"/>
              <w:pageBreakBefore w:val="0"/>
              <w:widowControl/>
              <w:kinsoku/>
              <w:wordWrap/>
              <w:overflowPunct/>
              <w:topLinePunct w:val="0"/>
              <w:autoSpaceDE/>
              <w:autoSpaceDN/>
              <w:bidi w:val="0"/>
              <w:spacing w:line="360" w:lineRule="auto"/>
              <w:textAlignment w:val="auto"/>
              <w:outlineLvl w:val="1"/>
              <w:rPr>
                <w:rFonts w:hint="eastAsia" w:eastAsia="宋体"/>
                <w:color w:val="auto"/>
                <w:highlight w:val="none"/>
                <w:lang w:val="en-US" w:eastAsia="zh-CN"/>
              </w:rPr>
            </w:pPr>
          </w:p>
        </w:tc>
        <w:tc>
          <w:tcPr>
            <w:tcW w:w="1717" w:type="dxa"/>
            <w:noWrap w:val="0"/>
            <w:vAlign w:val="center"/>
          </w:tcPr>
          <w:p w14:paraId="4503CCD7">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0EEC2D47">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4073C90D">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r>
      <w:tr w14:paraId="2C75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noWrap w:val="0"/>
            <w:vAlign w:val="center"/>
          </w:tcPr>
          <w:p w14:paraId="6591F8CE">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2041" w:type="dxa"/>
            <w:noWrap w:val="0"/>
            <w:vAlign w:val="center"/>
          </w:tcPr>
          <w:p w14:paraId="3378EBED">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360" w:type="dxa"/>
            <w:noWrap w:val="0"/>
            <w:vAlign w:val="center"/>
          </w:tcPr>
          <w:p w14:paraId="79516652">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88" w:type="dxa"/>
            <w:noWrap w:val="0"/>
            <w:vAlign w:val="center"/>
          </w:tcPr>
          <w:p w14:paraId="2B3B955D">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212" w:type="dxa"/>
            <w:noWrap w:val="0"/>
            <w:vAlign w:val="center"/>
          </w:tcPr>
          <w:p w14:paraId="32A55E21">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0" w:type="dxa"/>
            <w:noWrap w:val="0"/>
            <w:vAlign w:val="center"/>
          </w:tcPr>
          <w:p w14:paraId="31F59C47">
            <w:pPr>
              <w:keepNext w:val="0"/>
              <w:keepLines w:val="0"/>
              <w:pageBreakBefore w:val="0"/>
              <w:widowControl/>
              <w:kinsoku/>
              <w:wordWrap/>
              <w:overflowPunct/>
              <w:topLinePunct w:val="0"/>
              <w:autoSpaceDE/>
              <w:autoSpaceDN/>
              <w:bidi w:val="0"/>
              <w:spacing w:line="360" w:lineRule="auto"/>
              <w:jc w:val="both"/>
              <w:textAlignment w:val="auto"/>
              <w:outlineLvl w:val="1"/>
              <w:rPr>
                <w:rFonts w:hint="eastAsia"/>
                <w:color w:val="auto"/>
                <w:highlight w:val="none"/>
              </w:rPr>
            </w:pPr>
          </w:p>
        </w:tc>
        <w:tc>
          <w:tcPr>
            <w:tcW w:w="1717" w:type="dxa"/>
            <w:noWrap w:val="0"/>
            <w:vAlign w:val="center"/>
          </w:tcPr>
          <w:p w14:paraId="0CDD9194">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30EF3595">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44282AE8">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r>
      <w:tr w14:paraId="2255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noWrap w:val="0"/>
            <w:vAlign w:val="center"/>
          </w:tcPr>
          <w:p w14:paraId="69DE699A">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2041" w:type="dxa"/>
            <w:noWrap w:val="0"/>
            <w:vAlign w:val="center"/>
          </w:tcPr>
          <w:p w14:paraId="4E6D06E5">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360" w:type="dxa"/>
            <w:noWrap w:val="0"/>
            <w:vAlign w:val="center"/>
          </w:tcPr>
          <w:p w14:paraId="20C31841">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88" w:type="dxa"/>
            <w:noWrap w:val="0"/>
            <w:vAlign w:val="center"/>
          </w:tcPr>
          <w:p w14:paraId="58B852EA">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212" w:type="dxa"/>
            <w:noWrap w:val="0"/>
            <w:vAlign w:val="center"/>
          </w:tcPr>
          <w:p w14:paraId="330469F1">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0" w:type="dxa"/>
            <w:noWrap w:val="0"/>
            <w:vAlign w:val="center"/>
          </w:tcPr>
          <w:p w14:paraId="0EC01ACD">
            <w:pPr>
              <w:keepNext w:val="0"/>
              <w:keepLines w:val="0"/>
              <w:pageBreakBefore w:val="0"/>
              <w:widowControl/>
              <w:kinsoku/>
              <w:wordWrap/>
              <w:overflowPunct/>
              <w:topLinePunct w:val="0"/>
              <w:autoSpaceDE/>
              <w:autoSpaceDN/>
              <w:bidi w:val="0"/>
              <w:spacing w:line="360" w:lineRule="auto"/>
              <w:jc w:val="both"/>
              <w:textAlignment w:val="auto"/>
              <w:outlineLvl w:val="1"/>
              <w:rPr>
                <w:rFonts w:hint="eastAsia"/>
                <w:color w:val="auto"/>
                <w:highlight w:val="none"/>
              </w:rPr>
            </w:pPr>
          </w:p>
        </w:tc>
        <w:tc>
          <w:tcPr>
            <w:tcW w:w="1717" w:type="dxa"/>
            <w:noWrap w:val="0"/>
            <w:vAlign w:val="center"/>
          </w:tcPr>
          <w:p w14:paraId="44C56D22">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71036BE4">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221628AD">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r>
      <w:tr w14:paraId="35EE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tcBorders>
              <w:left w:val="single" w:color="auto" w:sz="4" w:space="0"/>
            </w:tcBorders>
            <w:noWrap w:val="0"/>
            <w:vAlign w:val="center"/>
          </w:tcPr>
          <w:p w14:paraId="7AB407A4">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2041" w:type="dxa"/>
            <w:noWrap w:val="0"/>
            <w:vAlign w:val="center"/>
          </w:tcPr>
          <w:p w14:paraId="456888FE">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360" w:type="dxa"/>
            <w:noWrap w:val="0"/>
            <w:vAlign w:val="center"/>
          </w:tcPr>
          <w:p w14:paraId="60A62A97">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88" w:type="dxa"/>
            <w:noWrap w:val="0"/>
            <w:vAlign w:val="center"/>
          </w:tcPr>
          <w:p w14:paraId="530DB22A">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212" w:type="dxa"/>
            <w:noWrap w:val="0"/>
            <w:vAlign w:val="center"/>
          </w:tcPr>
          <w:p w14:paraId="08FBC889">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0" w:type="dxa"/>
            <w:noWrap w:val="0"/>
            <w:vAlign w:val="center"/>
          </w:tcPr>
          <w:p w14:paraId="444EF28C">
            <w:pPr>
              <w:keepNext w:val="0"/>
              <w:keepLines w:val="0"/>
              <w:pageBreakBefore w:val="0"/>
              <w:widowControl/>
              <w:kinsoku/>
              <w:wordWrap/>
              <w:overflowPunct/>
              <w:topLinePunct w:val="0"/>
              <w:autoSpaceDE/>
              <w:autoSpaceDN/>
              <w:bidi w:val="0"/>
              <w:spacing w:line="360" w:lineRule="auto"/>
              <w:jc w:val="both"/>
              <w:textAlignment w:val="auto"/>
              <w:outlineLvl w:val="1"/>
              <w:rPr>
                <w:rFonts w:hint="eastAsia"/>
                <w:color w:val="auto"/>
                <w:highlight w:val="none"/>
              </w:rPr>
            </w:pPr>
          </w:p>
        </w:tc>
        <w:tc>
          <w:tcPr>
            <w:tcW w:w="1717" w:type="dxa"/>
            <w:noWrap w:val="0"/>
            <w:vAlign w:val="center"/>
          </w:tcPr>
          <w:p w14:paraId="32588E26">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798A4C89">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373CD1D1">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r>
      <w:tr w14:paraId="6C4F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noWrap w:val="0"/>
            <w:vAlign w:val="center"/>
          </w:tcPr>
          <w:p w14:paraId="6C380C10">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2041" w:type="dxa"/>
            <w:noWrap w:val="0"/>
            <w:vAlign w:val="center"/>
          </w:tcPr>
          <w:p w14:paraId="7C5D3482">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360" w:type="dxa"/>
            <w:noWrap w:val="0"/>
            <w:vAlign w:val="center"/>
          </w:tcPr>
          <w:p w14:paraId="18DD1496">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88" w:type="dxa"/>
            <w:noWrap w:val="0"/>
            <w:vAlign w:val="center"/>
          </w:tcPr>
          <w:p w14:paraId="4C61B0AD">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1212" w:type="dxa"/>
            <w:noWrap w:val="0"/>
            <w:vAlign w:val="center"/>
          </w:tcPr>
          <w:p w14:paraId="51E1D6A6">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0" w:type="dxa"/>
            <w:noWrap w:val="0"/>
            <w:vAlign w:val="center"/>
          </w:tcPr>
          <w:p w14:paraId="5717E668">
            <w:pPr>
              <w:keepNext w:val="0"/>
              <w:keepLines w:val="0"/>
              <w:pageBreakBefore w:val="0"/>
              <w:widowControl/>
              <w:kinsoku/>
              <w:wordWrap/>
              <w:overflowPunct/>
              <w:topLinePunct w:val="0"/>
              <w:autoSpaceDE/>
              <w:autoSpaceDN/>
              <w:bidi w:val="0"/>
              <w:spacing w:line="360" w:lineRule="auto"/>
              <w:jc w:val="both"/>
              <w:textAlignment w:val="auto"/>
              <w:outlineLvl w:val="1"/>
              <w:rPr>
                <w:rFonts w:hint="eastAsia"/>
                <w:color w:val="auto"/>
                <w:highlight w:val="none"/>
              </w:rPr>
            </w:pPr>
          </w:p>
        </w:tc>
        <w:tc>
          <w:tcPr>
            <w:tcW w:w="1717" w:type="dxa"/>
            <w:noWrap w:val="0"/>
            <w:vAlign w:val="center"/>
          </w:tcPr>
          <w:p w14:paraId="7AEBF338">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212C6B45">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c>
          <w:tcPr>
            <w:tcW w:w="843" w:type="dxa"/>
            <w:noWrap w:val="0"/>
            <w:vAlign w:val="center"/>
          </w:tcPr>
          <w:p w14:paraId="7BF0AD9D">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p>
        </w:tc>
      </w:tr>
      <w:tr w14:paraId="1083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noWrap w:val="0"/>
            <w:vAlign w:val="center"/>
          </w:tcPr>
          <w:p w14:paraId="0E91B6F5">
            <w:pPr>
              <w:keepNext w:val="0"/>
              <w:keepLines w:val="0"/>
              <w:pageBreakBefore w:val="0"/>
              <w:widowControl/>
              <w:kinsoku/>
              <w:wordWrap/>
              <w:overflowPunct/>
              <w:topLinePunct w:val="0"/>
              <w:autoSpaceDE/>
              <w:autoSpaceDN/>
              <w:bidi w:val="0"/>
              <w:spacing w:line="360" w:lineRule="auto"/>
              <w:textAlignment w:val="auto"/>
              <w:outlineLvl w:val="1"/>
              <w:rPr>
                <w:rFonts w:hint="eastAsia" w:eastAsia="宋体"/>
                <w:color w:val="auto"/>
                <w:highlight w:val="none"/>
                <w:lang w:val="en-US" w:eastAsia="zh-CN"/>
              </w:rPr>
            </w:pPr>
            <w:r>
              <w:rPr>
                <w:rFonts w:hint="eastAsia"/>
                <w:color w:val="auto"/>
                <w:highlight w:val="none"/>
                <w:lang w:val="en-US" w:eastAsia="zh-CN"/>
              </w:rPr>
              <w:t>……</w:t>
            </w:r>
          </w:p>
        </w:tc>
        <w:tc>
          <w:tcPr>
            <w:tcW w:w="2041" w:type="dxa"/>
            <w:noWrap w:val="0"/>
            <w:vAlign w:val="center"/>
          </w:tcPr>
          <w:p w14:paraId="15ADD002">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r>
              <w:rPr>
                <w:rFonts w:hint="eastAsia"/>
                <w:color w:val="auto"/>
                <w:highlight w:val="none"/>
                <w:lang w:val="en-US" w:eastAsia="zh-CN"/>
              </w:rPr>
              <w:t>……</w:t>
            </w:r>
          </w:p>
        </w:tc>
        <w:tc>
          <w:tcPr>
            <w:tcW w:w="1360" w:type="dxa"/>
            <w:noWrap w:val="0"/>
            <w:vAlign w:val="center"/>
          </w:tcPr>
          <w:p w14:paraId="48001F91">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r>
              <w:rPr>
                <w:rFonts w:hint="eastAsia"/>
                <w:color w:val="auto"/>
                <w:highlight w:val="none"/>
                <w:lang w:val="en-US" w:eastAsia="zh-CN"/>
              </w:rPr>
              <w:t>……</w:t>
            </w:r>
          </w:p>
        </w:tc>
        <w:tc>
          <w:tcPr>
            <w:tcW w:w="888" w:type="dxa"/>
            <w:noWrap w:val="0"/>
            <w:vAlign w:val="center"/>
          </w:tcPr>
          <w:p w14:paraId="0B2E1A8D">
            <w:pPr>
              <w:keepNext w:val="0"/>
              <w:keepLines w:val="0"/>
              <w:pageBreakBefore w:val="0"/>
              <w:widowControl/>
              <w:kinsoku/>
              <w:wordWrap/>
              <w:overflowPunct/>
              <w:topLinePunct w:val="0"/>
              <w:autoSpaceDE/>
              <w:autoSpaceDN/>
              <w:bidi w:val="0"/>
              <w:spacing w:line="360" w:lineRule="auto"/>
              <w:textAlignment w:val="auto"/>
              <w:outlineLvl w:val="1"/>
              <w:rPr>
                <w:rFonts w:hint="eastAsia"/>
                <w:color w:val="auto"/>
                <w:highlight w:val="none"/>
              </w:rPr>
            </w:pPr>
            <w:r>
              <w:rPr>
                <w:rFonts w:hint="eastAsia"/>
                <w:color w:val="auto"/>
                <w:highlight w:val="none"/>
                <w:lang w:val="en-US" w:eastAsia="zh-CN"/>
              </w:rPr>
              <w:t>……</w:t>
            </w:r>
          </w:p>
        </w:tc>
        <w:tc>
          <w:tcPr>
            <w:tcW w:w="1212" w:type="dxa"/>
            <w:noWrap w:val="0"/>
            <w:vAlign w:val="center"/>
          </w:tcPr>
          <w:p w14:paraId="3E2D0188">
            <w:pPr>
              <w:keepNext w:val="0"/>
              <w:keepLines w:val="0"/>
              <w:pageBreakBefore w:val="0"/>
              <w:widowControl/>
              <w:kinsoku/>
              <w:wordWrap/>
              <w:overflowPunct/>
              <w:topLinePunct w:val="0"/>
              <w:autoSpaceDE/>
              <w:autoSpaceDN/>
              <w:bidi w:val="0"/>
              <w:spacing w:line="360" w:lineRule="auto"/>
              <w:ind w:firstLine="240" w:firstLineChars="100"/>
              <w:textAlignment w:val="auto"/>
              <w:outlineLvl w:val="1"/>
              <w:rPr>
                <w:rFonts w:hint="eastAsia"/>
                <w:color w:val="auto"/>
                <w:highlight w:val="none"/>
              </w:rPr>
            </w:pPr>
            <w:r>
              <w:rPr>
                <w:rFonts w:hint="eastAsia"/>
                <w:color w:val="auto"/>
                <w:highlight w:val="none"/>
                <w:lang w:val="en-US" w:eastAsia="zh-CN"/>
              </w:rPr>
              <w:t>……</w:t>
            </w:r>
          </w:p>
        </w:tc>
        <w:tc>
          <w:tcPr>
            <w:tcW w:w="840" w:type="dxa"/>
            <w:noWrap w:val="0"/>
            <w:vAlign w:val="center"/>
          </w:tcPr>
          <w:p w14:paraId="3C34186B">
            <w:pPr>
              <w:keepNext w:val="0"/>
              <w:keepLines w:val="0"/>
              <w:pageBreakBefore w:val="0"/>
              <w:widowControl/>
              <w:kinsoku/>
              <w:wordWrap/>
              <w:overflowPunct/>
              <w:topLinePunct w:val="0"/>
              <w:autoSpaceDE/>
              <w:autoSpaceDN/>
              <w:bidi w:val="0"/>
              <w:spacing w:line="360" w:lineRule="auto"/>
              <w:jc w:val="both"/>
              <w:textAlignment w:val="auto"/>
              <w:outlineLvl w:val="1"/>
              <w:rPr>
                <w:rFonts w:hint="eastAsia"/>
                <w:color w:val="auto"/>
                <w:highlight w:val="none"/>
              </w:rPr>
            </w:pPr>
            <w:r>
              <w:rPr>
                <w:rFonts w:hint="eastAsia"/>
                <w:color w:val="auto"/>
                <w:highlight w:val="none"/>
                <w:lang w:val="en-US" w:eastAsia="zh-CN"/>
              </w:rPr>
              <w:t>……</w:t>
            </w:r>
          </w:p>
        </w:tc>
        <w:tc>
          <w:tcPr>
            <w:tcW w:w="1717" w:type="dxa"/>
            <w:noWrap w:val="0"/>
            <w:vAlign w:val="center"/>
          </w:tcPr>
          <w:p w14:paraId="7FB1F1DF">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r>
              <w:rPr>
                <w:rFonts w:hint="eastAsia"/>
                <w:color w:val="auto"/>
                <w:highlight w:val="none"/>
                <w:lang w:val="en-US" w:eastAsia="zh-CN"/>
              </w:rPr>
              <w:t>……</w:t>
            </w:r>
          </w:p>
        </w:tc>
        <w:tc>
          <w:tcPr>
            <w:tcW w:w="843" w:type="dxa"/>
            <w:noWrap w:val="0"/>
            <w:vAlign w:val="center"/>
          </w:tcPr>
          <w:p w14:paraId="7E84EF9D">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lang w:val="en-US" w:eastAsia="zh-CN"/>
              </w:rPr>
            </w:pPr>
          </w:p>
        </w:tc>
        <w:tc>
          <w:tcPr>
            <w:tcW w:w="843" w:type="dxa"/>
            <w:noWrap w:val="0"/>
            <w:vAlign w:val="center"/>
          </w:tcPr>
          <w:p w14:paraId="5EF51D4C">
            <w:pPr>
              <w:keepNext w:val="0"/>
              <w:keepLines w:val="0"/>
              <w:pageBreakBefore w:val="0"/>
              <w:widowControl/>
              <w:kinsoku/>
              <w:wordWrap/>
              <w:overflowPunct/>
              <w:topLinePunct w:val="0"/>
              <w:autoSpaceDE/>
              <w:autoSpaceDN/>
              <w:bidi w:val="0"/>
              <w:spacing w:line="360" w:lineRule="auto"/>
              <w:textAlignment w:val="auto"/>
              <w:outlineLvl w:val="1"/>
              <w:rPr>
                <w:rFonts w:hint="eastAsia"/>
                <w:color w:val="auto"/>
                <w:highlight w:val="none"/>
              </w:rPr>
            </w:pPr>
            <w:r>
              <w:rPr>
                <w:rFonts w:hint="eastAsia"/>
                <w:color w:val="auto"/>
                <w:highlight w:val="none"/>
                <w:lang w:val="en-US" w:eastAsia="zh-CN"/>
              </w:rPr>
              <w:t>……</w:t>
            </w:r>
          </w:p>
        </w:tc>
      </w:tr>
      <w:tr w14:paraId="4EB4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0606" w:type="dxa"/>
            <w:gridSpan w:val="9"/>
            <w:tcBorders>
              <w:top w:val="single" w:color="auto" w:sz="4" w:space="0"/>
              <w:bottom w:val="single" w:color="auto" w:sz="4" w:space="0"/>
            </w:tcBorders>
            <w:noWrap w:val="0"/>
            <w:vAlign w:val="center"/>
          </w:tcPr>
          <w:p w14:paraId="6C17DB1B">
            <w:pPr>
              <w:keepNext w:val="0"/>
              <w:keepLines w:val="0"/>
              <w:pageBreakBefore w:val="0"/>
              <w:widowControl/>
              <w:kinsoku/>
              <w:wordWrap/>
              <w:overflowPunct/>
              <w:topLinePunct w:val="0"/>
              <w:autoSpaceDE/>
              <w:autoSpaceDN/>
              <w:bidi w:val="0"/>
              <w:spacing w:line="360" w:lineRule="auto"/>
              <w:ind w:firstLine="470" w:firstLineChars="196"/>
              <w:textAlignment w:val="auto"/>
              <w:outlineLvl w:val="1"/>
              <w:rPr>
                <w:rFonts w:hint="eastAsia"/>
                <w:color w:val="auto"/>
                <w:highlight w:val="none"/>
              </w:rPr>
            </w:pPr>
            <w:r>
              <w:rPr>
                <w:rFonts w:hint="eastAsia"/>
                <w:color w:val="auto"/>
                <w:highlight w:val="none"/>
              </w:rPr>
              <w:t>报价合计（</w:t>
            </w:r>
            <w:r>
              <w:rPr>
                <w:rFonts w:hint="eastAsia"/>
                <w:color w:val="auto"/>
                <w:highlight w:val="none"/>
                <w:lang w:val="en-US" w:eastAsia="zh-CN"/>
              </w:rPr>
              <w:t>元</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大写：</w:t>
            </w:r>
          </w:p>
        </w:tc>
      </w:tr>
    </w:tbl>
    <w:p w14:paraId="515C9CD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p>
    <w:p w14:paraId="7BC4539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r>
        <w:rPr>
          <w:rFonts w:hint="eastAsia" w:ascii="宋体" w:hAnsi="宋体" w:cs="宋体"/>
          <w:color w:val="auto"/>
          <w:highlight w:val="none"/>
        </w:rPr>
        <w:t>注：1、投标人需按“分项报价明细表”的格式详细报出投标总价的各个组成部分的报价。</w:t>
      </w:r>
    </w:p>
    <w:p w14:paraId="45D40A0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“分项报价明细表”各分项报价合计应当与“开标一览表”报价合计相等。</w:t>
      </w:r>
    </w:p>
    <w:p w14:paraId="402C8F00">
      <w:pPr>
        <w:pStyle w:val="28"/>
        <w:numPr>
          <w:ilvl w:val="0"/>
          <w:numId w:val="0"/>
        </w:numPr>
        <w:ind w:left="600" w:leftChars="0"/>
        <w:rPr>
          <w:rFonts w:hint="eastAsia"/>
          <w:color w:val="auto"/>
          <w:highlight w:val="none"/>
        </w:rPr>
      </w:pPr>
    </w:p>
    <w:p w14:paraId="7FA5C079">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 （盖单位公章）：</w:t>
      </w:r>
    </w:p>
    <w:p w14:paraId="17BFF95F">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5817F109">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sectPr>
          <w:headerReference r:id="rId22" w:type="first"/>
          <w:headerReference r:id="rId21" w:type="even"/>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olor w:val="auto"/>
          <w:highlight w:val="none"/>
        </w:rPr>
        <w:t>日期：</w:t>
      </w:r>
    </w:p>
    <w:p w14:paraId="0F8FF264">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七、商务应答表</w:t>
      </w:r>
    </w:p>
    <w:p w14:paraId="0660D810">
      <w:pPr>
        <w:keepNext w:val="0"/>
        <w:keepLines w:val="0"/>
        <w:pageBreakBefore w:val="0"/>
        <w:widowControl/>
        <w:kinsoku/>
        <w:wordWrap/>
        <w:overflowPunct/>
        <w:topLinePunct w:val="0"/>
        <w:autoSpaceDE/>
        <w:autoSpaceDN/>
        <w:bidi w:val="0"/>
        <w:spacing w:line="360" w:lineRule="auto"/>
        <w:textAlignment w:val="auto"/>
        <w:rPr>
          <w:rFonts w:hint="eastAsia" w:hAnsi="宋体"/>
          <w:b/>
          <w:color w:val="auto"/>
          <w:highlight w:val="none"/>
        </w:rPr>
      </w:pPr>
      <w:r>
        <w:rPr>
          <w:rFonts w:hint="eastAsia" w:hAnsi="宋体"/>
          <w:b/>
          <w:color w:val="auto"/>
          <w:highlight w:val="none"/>
        </w:rPr>
        <w:t xml:space="preserve">项目名称：   </w:t>
      </w:r>
    </w:p>
    <w:p w14:paraId="47D858DC">
      <w:pPr>
        <w:keepNext w:val="0"/>
        <w:keepLines w:val="0"/>
        <w:pageBreakBefore w:val="0"/>
        <w:widowControl/>
        <w:kinsoku/>
        <w:wordWrap/>
        <w:overflowPunct/>
        <w:topLinePunct w:val="0"/>
        <w:autoSpaceDE/>
        <w:autoSpaceDN/>
        <w:bidi w:val="0"/>
        <w:spacing w:line="360" w:lineRule="auto"/>
        <w:textAlignment w:val="auto"/>
        <w:rPr>
          <w:rFonts w:hint="default" w:hAnsi="宋体" w:eastAsia="宋体"/>
          <w:b/>
          <w:color w:val="auto"/>
          <w:highlight w:val="none"/>
          <w:lang w:val="en-US" w:eastAsia="zh-CN"/>
        </w:rPr>
      </w:pPr>
      <w:r>
        <w:rPr>
          <w:rFonts w:hint="eastAsia" w:hAnsi="宋体"/>
          <w:b/>
          <w:color w:val="auto"/>
          <w:highlight w:val="none"/>
        </w:rPr>
        <w:t xml:space="preserve">招标编号： </w:t>
      </w:r>
      <w:r>
        <w:rPr>
          <w:rFonts w:hint="eastAsia" w:hAnsi="宋体"/>
          <w:b/>
          <w:color w:val="auto"/>
          <w:highlight w:val="none"/>
          <w:lang w:val="en-US" w:eastAsia="zh-CN"/>
        </w:rPr>
        <w:t xml:space="preserve">                      </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3883"/>
        <w:gridCol w:w="3884"/>
        <w:gridCol w:w="1230"/>
      </w:tblGrid>
      <w:tr w14:paraId="4408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52" w:type="dxa"/>
            <w:noWrap/>
            <w:vAlign w:val="center"/>
          </w:tcPr>
          <w:p w14:paraId="470B1155">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序号</w:t>
            </w:r>
          </w:p>
        </w:tc>
        <w:tc>
          <w:tcPr>
            <w:tcW w:w="3883" w:type="dxa"/>
            <w:noWrap/>
            <w:vAlign w:val="center"/>
          </w:tcPr>
          <w:p w14:paraId="49AAACB3">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招标要求</w:t>
            </w:r>
          </w:p>
        </w:tc>
        <w:tc>
          <w:tcPr>
            <w:tcW w:w="3884" w:type="dxa"/>
            <w:noWrap/>
            <w:vAlign w:val="center"/>
          </w:tcPr>
          <w:p w14:paraId="5B205FCC">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投标应答</w:t>
            </w:r>
          </w:p>
        </w:tc>
        <w:tc>
          <w:tcPr>
            <w:tcW w:w="1230" w:type="dxa"/>
            <w:noWrap/>
            <w:vAlign w:val="center"/>
          </w:tcPr>
          <w:p w14:paraId="7092B523">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备注</w:t>
            </w:r>
          </w:p>
        </w:tc>
      </w:tr>
      <w:tr w14:paraId="2B20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5CB72229">
            <w:pPr>
              <w:keepLines w:val="0"/>
              <w:pageBreakBefore w:val="0"/>
              <w:kinsoku/>
              <w:overflowPunct/>
              <w:bidi w:val="0"/>
              <w:spacing w:line="360" w:lineRule="auto"/>
              <w:jc w:val="center"/>
              <w:outlineLvl w:val="5"/>
              <w:rPr>
                <w:rFonts w:hAnsi="宋体" w:cs="宋体"/>
                <w:color w:val="auto"/>
                <w:highlight w:val="none"/>
              </w:rPr>
            </w:pPr>
          </w:p>
        </w:tc>
        <w:tc>
          <w:tcPr>
            <w:tcW w:w="3883" w:type="dxa"/>
            <w:noWrap/>
            <w:vAlign w:val="center"/>
          </w:tcPr>
          <w:p w14:paraId="06C847AD">
            <w:pPr>
              <w:keepLines w:val="0"/>
              <w:pageBreakBefore w:val="0"/>
              <w:kinsoku/>
              <w:overflowPunct/>
              <w:bidi w:val="0"/>
              <w:spacing w:line="360" w:lineRule="auto"/>
              <w:jc w:val="center"/>
              <w:outlineLvl w:val="5"/>
              <w:rPr>
                <w:rFonts w:hAnsi="宋体" w:cs="宋体"/>
                <w:color w:val="auto"/>
                <w:highlight w:val="none"/>
              </w:rPr>
            </w:pPr>
          </w:p>
        </w:tc>
        <w:tc>
          <w:tcPr>
            <w:tcW w:w="3884" w:type="dxa"/>
            <w:noWrap/>
            <w:vAlign w:val="center"/>
          </w:tcPr>
          <w:p w14:paraId="6DF7B872">
            <w:pPr>
              <w:keepLines w:val="0"/>
              <w:pageBreakBefore w:val="0"/>
              <w:kinsoku/>
              <w:overflowPunct/>
              <w:bidi w:val="0"/>
              <w:spacing w:line="360" w:lineRule="auto"/>
              <w:ind w:left="317" w:hanging="316" w:hangingChars="132"/>
              <w:jc w:val="center"/>
              <w:outlineLvl w:val="5"/>
              <w:rPr>
                <w:rFonts w:hAnsi="宋体" w:cs="宋体"/>
                <w:color w:val="auto"/>
                <w:highlight w:val="none"/>
              </w:rPr>
            </w:pPr>
          </w:p>
        </w:tc>
        <w:tc>
          <w:tcPr>
            <w:tcW w:w="1230" w:type="dxa"/>
            <w:noWrap/>
            <w:vAlign w:val="center"/>
          </w:tcPr>
          <w:p w14:paraId="69444782">
            <w:pPr>
              <w:keepLines w:val="0"/>
              <w:pageBreakBefore w:val="0"/>
              <w:kinsoku/>
              <w:overflowPunct/>
              <w:bidi w:val="0"/>
              <w:spacing w:line="360" w:lineRule="auto"/>
              <w:ind w:left="317" w:hanging="316" w:hangingChars="132"/>
              <w:jc w:val="center"/>
              <w:outlineLvl w:val="5"/>
              <w:rPr>
                <w:rFonts w:hAnsi="宋体" w:cs="宋体"/>
                <w:color w:val="auto"/>
                <w:highlight w:val="none"/>
              </w:rPr>
            </w:pPr>
          </w:p>
        </w:tc>
      </w:tr>
      <w:tr w14:paraId="509E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7D75E2BB">
            <w:pPr>
              <w:keepLines w:val="0"/>
              <w:pageBreakBefore w:val="0"/>
              <w:kinsoku/>
              <w:overflowPunct/>
              <w:bidi w:val="0"/>
              <w:spacing w:line="360" w:lineRule="auto"/>
              <w:jc w:val="center"/>
              <w:outlineLvl w:val="5"/>
              <w:rPr>
                <w:rFonts w:hAnsi="宋体" w:cs="宋体"/>
                <w:color w:val="auto"/>
                <w:highlight w:val="none"/>
              </w:rPr>
            </w:pPr>
          </w:p>
        </w:tc>
        <w:tc>
          <w:tcPr>
            <w:tcW w:w="3883" w:type="dxa"/>
            <w:noWrap/>
            <w:vAlign w:val="center"/>
          </w:tcPr>
          <w:p w14:paraId="2B9A662C">
            <w:pPr>
              <w:keepLines w:val="0"/>
              <w:pageBreakBefore w:val="0"/>
              <w:kinsoku/>
              <w:overflowPunct/>
              <w:bidi w:val="0"/>
              <w:spacing w:line="360" w:lineRule="auto"/>
              <w:jc w:val="center"/>
              <w:outlineLvl w:val="5"/>
              <w:rPr>
                <w:rFonts w:hAnsi="宋体" w:cs="宋体"/>
                <w:color w:val="auto"/>
                <w:highlight w:val="none"/>
              </w:rPr>
            </w:pPr>
          </w:p>
        </w:tc>
        <w:tc>
          <w:tcPr>
            <w:tcW w:w="3884" w:type="dxa"/>
            <w:noWrap/>
            <w:vAlign w:val="center"/>
          </w:tcPr>
          <w:p w14:paraId="7E06616E">
            <w:pPr>
              <w:keepLines w:val="0"/>
              <w:pageBreakBefore w:val="0"/>
              <w:kinsoku/>
              <w:overflowPunct/>
              <w:bidi w:val="0"/>
              <w:spacing w:line="360" w:lineRule="auto"/>
              <w:jc w:val="center"/>
              <w:outlineLvl w:val="5"/>
              <w:rPr>
                <w:rFonts w:hAnsi="宋体" w:cs="宋体"/>
                <w:color w:val="auto"/>
                <w:highlight w:val="none"/>
              </w:rPr>
            </w:pPr>
          </w:p>
        </w:tc>
        <w:tc>
          <w:tcPr>
            <w:tcW w:w="1230" w:type="dxa"/>
            <w:noWrap/>
            <w:vAlign w:val="center"/>
          </w:tcPr>
          <w:p w14:paraId="5D6100EA">
            <w:pPr>
              <w:keepLines w:val="0"/>
              <w:pageBreakBefore w:val="0"/>
              <w:kinsoku/>
              <w:overflowPunct/>
              <w:bidi w:val="0"/>
              <w:spacing w:line="360" w:lineRule="auto"/>
              <w:jc w:val="center"/>
              <w:outlineLvl w:val="5"/>
              <w:rPr>
                <w:rFonts w:hAnsi="宋体" w:cs="宋体"/>
                <w:color w:val="auto"/>
                <w:highlight w:val="none"/>
              </w:rPr>
            </w:pPr>
          </w:p>
        </w:tc>
      </w:tr>
      <w:tr w14:paraId="0DF1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29CF9A95">
            <w:pPr>
              <w:keepLines w:val="0"/>
              <w:pageBreakBefore w:val="0"/>
              <w:kinsoku/>
              <w:overflowPunct/>
              <w:bidi w:val="0"/>
              <w:spacing w:line="360" w:lineRule="auto"/>
              <w:jc w:val="center"/>
              <w:outlineLvl w:val="5"/>
              <w:rPr>
                <w:rFonts w:hAnsi="宋体" w:cs="宋体"/>
                <w:color w:val="auto"/>
                <w:highlight w:val="none"/>
              </w:rPr>
            </w:pPr>
          </w:p>
        </w:tc>
        <w:tc>
          <w:tcPr>
            <w:tcW w:w="3883" w:type="dxa"/>
            <w:noWrap/>
            <w:vAlign w:val="center"/>
          </w:tcPr>
          <w:p w14:paraId="45CF89B6">
            <w:pPr>
              <w:keepLines w:val="0"/>
              <w:pageBreakBefore w:val="0"/>
              <w:kinsoku/>
              <w:overflowPunct/>
              <w:bidi w:val="0"/>
              <w:spacing w:line="360" w:lineRule="auto"/>
              <w:jc w:val="center"/>
              <w:outlineLvl w:val="5"/>
              <w:rPr>
                <w:rFonts w:hAnsi="宋体" w:cs="宋体"/>
                <w:color w:val="auto"/>
                <w:highlight w:val="none"/>
              </w:rPr>
            </w:pPr>
          </w:p>
        </w:tc>
        <w:tc>
          <w:tcPr>
            <w:tcW w:w="3884" w:type="dxa"/>
            <w:noWrap/>
            <w:vAlign w:val="center"/>
          </w:tcPr>
          <w:p w14:paraId="44C63598">
            <w:pPr>
              <w:keepLines w:val="0"/>
              <w:pageBreakBefore w:val="0"/>
              <w:kinsoku/>
              <w:overflowPunct/>
              <w:bidi w:val="0"/>
              <w:spacing w:line="360" w:lineRule="auto"/>
              <w:jc w:val="center"/>
              <w:outlineLvl w:val="5"/>
              <w:rPr>
                <w:rFonts w:hAnsi="宋体" w:cs="宋体"/>
                <w:color w:val="auto"/>
                <w:highlight w:val="none"/>
              </w:rPr>
            </w:pPr>
          </w:p>
        </w:tc>
        <w:tc>
          <w:tcPr>
            <w:tcW w:w="1230" w:type="dxa"/>
            <w:noWrap/>
            <w:vAlign w:val="center"/>
          </w:tcPr>
          <w:p w14:paraId="1B4901D8">
            <w:pPr>
              <w:keepLines w:val="0"/>
              <w:pageBreakBefore w:val="0"/>
              <w:kinsoku/>
              <w:overflowPunct/>
              <w:bidi w:val="0"/>
              <w:spacing w:line="360" w:lineRule="auto"/>
              <w:jc w:val="center"/>
              <w:outlineLvl w:val="5"/>
              <w:rPr>
                <w:rFonts w:hAnsi="宋体" w:cs="宋体"/>
                <w:color w:val="auto"/>
                <w:highlight w:val="none"/>
              </w:rPr>
            </w:pPr>
          </w:p>
        </w:tc>
      </w:tr>
      <w:tr w14:paraId="1044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6318C75D">
            <w:pPr>
              <w:keepLines w:val="0"/>
              <w:pageBreakBefore w:val="0"/>
              <w:kinsoku/>
              <w:overflowPunct/>
              <w:bidi w:val="0"/>
              <w:spacing w:line="360" w:lineRule="auto"/>
              <w:jc w:val="center"/>
              <w:outlineLvl w:val="5"/>
              <w:rPr>
                <w:rFonts w:hAnsi="宋体" w:cs="宋体"/>
                <w:color w:val="auto"/>
                <w:highlight w:val="none"/>
              </w:rPr>
            </w:pPr>
          </w:p>
        </w:tc>
        <w:tc>
          <w:tcPr>
            <w:tcW w:w="3883" w:type="dxa"/>
            <w:noWrap/>
            <w:vAlign w:val="center"/>
          </w:tcPr>
          <w:p w14:paraId="5BE67EB4">
            <w:pPr>
              <w:keepLines w:val="0"/>
              <w:pageBreakBefore w:val="0"/>
              <w:kinsoku/>
              <w:overflowPunct/>
              <w:bidi w:val="0"/>
              <w:spacing w:line="360" w:lineRule="auto"/>
              <w:jc w:val="center"/>
              <w:outlineLvl w:val="5"/>
              <w:rPr>
                <w:rFonts w:hAnsi="宋体" w:cs="宋体"/>
                <w:color w:val="auto"/>
                <w:highlight w:val="none"/>
              </w:rPr>
            </w:pPr>
          </w:p>
        </w:tc>
        <w:tc>
          <w:tcPr>
            <w:tcW w:w="3884" w:type="dxa"/>
            <w:noWrap/>
            <w:vAlign w:val="center"/>
          </w:tcPr>
          <w:p w14:paraId="2E12A387">
            <w:pPr>
              <w:keepLines w:val="0"/>
              <w:pageBreakBefore w:val="0"/>
              <w:kinsoku/>
              <w:overflowPunct/>
              <w:bidi w:val="0"/>
              <w:spacing w:line="360" w:lineRule="auto"/>
              <w:jc w:val="center"/>
              <w:outlineLvl w:val="5"/>
              <w:rPr>
                <w:rFonts w:hAnsi="宋体" w:cs="宋体"/>
                <w:color w:val="auto"/>
                <w:highlight w:val="none"/>
              </w:rPr>
            </w:pPr>
          </w:p>
        </w:tc>
        <w:tc>
          <w:tcPr>
            <w:tcW w:w="1230" w:type="dxa"/>
            <w:noWrap/>
            <w:vAlign w:val="center"/>
          </w:tcPr>
          <w:p w14:paraId="2D44D712">
            <w:pPr>
              <w:keepLines w:val="0"/>
              <w:pageBreakBefore w:val="0"/>
              <w:kinsoku/>
              <w:overflowPunct/>
              <w:bidi w:val="0"/>
              <w:spacing w:line="360" w:lineRule="auto"/>
              <w:jc w:val="center"/>
              <w:outlineLvl w:val="5"/>
              <w:rPr>
                <w:rFonts w:hAnsi="宋体" w:cs="宋体"/>
                <w:color w:val="auto"/>
                <w:highlight w:val="none"/>
              </w:rPr>
            </w:pPr>
          </w:p>
        </w:tc>
      </w:tr>
      <w:tr w14:paraId="35A3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2DEF915F">
            <w:pPr>
              <w:keepLines w:val="0"/>
              <w:pageBreakBefore w:val="0"/>
              <w:kinsoku/>
              <w:overflowPunct/>
              <w:bidi w:val="0"/>
              <w:spacing w:line="360" w:lineRule="auto"/>
              <w:jc w:val="center"/>
              <w:outlineLvl w:val="5"/>
              <w:rPr>
                <w:rFonts w:hAnsi="宋体" w:cs="宋体"/>
                <w:color w:val="auto"/>
                <w:highlight w:val="none"/>
              </w:rPr>
            </w:pPr>
          </w:p>
        </w:tc>
        <w:tc>
          <w:tcPr>
            <w:tcW w:w="3883" w:type="dxa"/>
            <w:noWrap/>
            <w:vAlign w:val="center"/>
          </w:tcPr>
          <w:p w14:paraId="4640944D">
            <w:pPr>
              <w:keepLines w:val="0"/>
              <w:pageBreakBefore w:val="0"/>
              <w:tabs>
                <w:tab w:val="left" w:pos="2726"/>
              </w:tabs>
              <w:kinsoku/>
              <w:overflowPunct/>
              <w:bidi w:val="0"/>
              <w:spacing w:line="360" w:lineRule="auto"/>
              <w:jc w:val="left"/>
              <w:outlineLvl w:val="5"/>
              <w:rPr>
                <w:rFonts w:hint="eastAsia" w:hAnsi="宋体" w:eastAsia="宋体" w:cs="宋体"/>
                <w:color w:val="auto"/>
                <w:highlight w:val="none"/>
                <w:lang w:eastAsia="zh-CN"/>
              </w:rPr>
            </w:pPr>
            <w:r>
              <w:rPr>
                <w:rFonts w:hint="eastAsia" w:hAnsi="宋体" w:cs="宋体"/>
                <w:color w:val="auto"/>
                <w:highlight w:val="none"/>
                <w:lang w:eastAsia="zh-CN"/>
              </w:rPr>
              <w:tab/>
            </w:r>
          </w:p>
        </w:tc>
        <w:tc>
          <w:tcPr>
            <w:tcW w:w="3884" w:type="dxa"/>
            <w:noWrap/>
            <w:vAlign w:val="center"/>
          </w:tcPr>
          <w:p w14:paraId="13511F35">
            <w:pPr>
              <w:keepLines w:val="0"/>
              <w:pageBreakBefore w:val="0"/>
              <w:kinsoku/>
              <w:overflowPunct/>
              <w:bidi w:val="0"/>
              <w:spacing w:line="360" w:lineRule="auto"/>
              <w:jc w:val="center"/>
              <w:outlineLvl w:val="5"/>
              <w:rPr>
                <w:rFonts w:hAnsi="宋体" w:cs="宋体"/>
                <w:color w:val="auto"/>
                <w:highlight w:val="none"/>
              </w:rPr>
            </w:pPr>
          </w:p>
        </w:tc>
        <w:tc>
          <w:tcPr>
            <w:tcW w:w="1230" w:type="dxa"/>
            <w:noWrap/>
            <w:vAlign w:val="center"/>
          </w:tcPr>
          <w:p w14:paraId="79B56196">
            <w:pPr>
              <w:keepLines w:val="0"/>
              <w:pageBreakBefore w:val="0"/>
              <w:kinsoku/>
              <w:overflowPunct/>
              <w:bidi w:val="0"/>
              <w:spacing w:line="360" w:lineRule="auto"/>
              <w:jc w:val="center"/>
              <w:outlineLvl w:val="5"/>
              <w:rPr>
                <w:rFonts w:hAnsi="宋体" w:cs="宋体"/>
                <w:color w:val="auto"/>
                <w:highlight w:val="none"/>
              </w:rPr>
            </w:pPr>
          </w:p>
        </w:tc>
      </w:tr>
    </w:tbl>
    <w:p w14:paraId="49B8A13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p>
    <w:p w14:paraId="12559A3E">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r>
        <w:rPr>
          <w:rFonts w:hint="eastAsia" w:ascii="宋体" w:hAnsi="宋体" w:cs="宋体"/>
          <w:color w:val="auto"/>
          <w:highlight w:val="none"/>
        </w:rPr>
        <w:t>注：1.投标人把招标文件第六章中第三部分：总体商务、服务要求及履约主要条款逐条列出。</w:t>
      </w:r>
    </w:p>
    <w:p w14:paraId="1202A75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2.投标人必须据实填写，不得虚假应答，否则将取消其投标或中标资格，并按有关规定进行处罚。</w:t>
      </w:r>
    </w:p>
    <w:p w14:paraId="0DA9AB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hAnsi="宋体" w:cs="宋体"/>
          <w:bCs/>
          <w:color w:val="auto"/>
          <w:highlight w:val="none"/>
        </w:rPr>
      </w:pPr>
    </w:p>
    <w:p w14:paraId="61204C22">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4DBD306F">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7D32D52A">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lang w:eastAsia="zh-CN"/>
        </w:rPr>
      </w:pPr>
      <w:r>
        <w:rPr>
          <w:rFonts w:hint="eastAsia" w:hAnsi="宋体"/>
          <w:color w:val="auto"/>
          <w:highlight w:val="none"/>
        </w:rPr>
        <w:t>日期</w:t>
      </w:r>
      <w:r>
        <w:rPr>
          <w:rFonts w:hint="eastAsia" w:hAnsi="宋体"/>
          <w:color w:val="auto"/>
          <w:highlight w:val="none"/>
          <w:lang w:eastAsia="zh-CN"/>
        </w:rPr>
        <w:t>：</w:t>
      </w:r>
    </w:p>
    <w:p w14:paraId="3CE7B4CE">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八、</w:t>
      </w:r>
      <w:bookmarkEnd w:id="143"/>
      <w:bookmarkStart w:id="144" w:name="_Toc217446088"/>
      <w:r>
        <w:rPr>
          <w:rFonts w:hint="eastAsia"/>
          <w:color w:val="auto"/>
          <w:sz w:val="32"/>
          <w:szCs w:val="32"/>
          <w:highlight w:val="none"/>
          <w:lang w:val="en-US" w:eastAsia="zh-CN"/>
        </w:rPr>
        <w:t>投标产品技术配置参数表</w:t>
      </w:r>
    </w:p>
    <w:p w14:paraId="0BD40047">
      <w:pPr>
        <w:keepNext w:val="0"/>
        <w:keepLines w:val="0"/>
        <w:pageBreakBefore w:val="0"/>
        <w:widowControl/>
        <w:kinsoku/>
        <w:wordWrap/>
        <w:overflowPunct/>
        <w:topLinePunct w:val="0"/>
        <w:autoSpaceDE/>
        <w:autoSpaceDN/>
        <w:bidi w:val="0"/>
        <w:spacing w:line="360" w:lineRule="auto"/>
        <w:textAlignment w:val="auto"/>
        <w:rPr>
          <w:rFonts w:hint="eastAsia" w:hAnsi="宋体"/>
          <w:b/>
          <w:color w:val="auto"/>
          <w:highlight w:val="none"/>
        </w:rPr>
      </w:pPr>
      <w:r>
        <w:rPr>
          <w:rFonts w:hint="eastAsia" w:hAnsi="宋体"/>
          <w:b/>
          <w:color w:val="auto"/>
          <w:highlight w:val="none"/>
        </w:rPr>
        <w:t xml:space="preserve">项目名称：   </w:t>
      </w:r>
    </w:p>
    <w:p w14:paraId="2745E2D4">
      <w:pPr>
        <w:keepNext w:val="0"/>
        <w:keepLines w:val="0"/>
        <w:pageBreakBefore w:val="0"/>
        <w:widowControl/>
        <w:kinsoku/>
        <w:wordWrap/>
        <w:overflowPunct/>
        <w:topLinePunct w:val="0"/>
        <w:autoSpaceDE/>
        <w:autoSpaceDN/>
        <w:bidi w:val="0"/>
        <w:spacing w:line="360" w:lineRule="auto"/>
        <w:textAlignment w:val="auto"/>
        <w:rPr>
          <w:rFonts w:hint="default" w:hAnsi="宋体" w:eastAsia="宋体"/>
          <w:b/>
          <w:color w:val="auto"/>
          <w:highlight w:val="none"/>
          <w:lang w:val="en-US" w:eastAsia="zh-CN"/>
        </w:rPr>
      </w:pPr>
      <w:r>
        <w:rPr>
          <w:rFonts w:hint="eastAsia" w:hAnsi="宋体"/>
          <w:b/>
          <w:color w:val="auto"/>
          <w:highlight w:val="none"/>
        </w:rPr>
        <w:t xml:space="preserve">招标编号： </w:t>
      </w:r>
      <w:r>
        <w:rPr>
          <w:rFonts w:hint="eastAsia" w:hAnsi="宋体"/>
          <w:b/>
          <w:color w:val="auto"/>
          <w:highlight w:val="none"/>
          <w:lang w:val="en-US" w:eastAsia="zh-CN"/>
        </w:rPr>
        <w:t xml:space="preserve">                        </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384"/>
        <w:gridCol w:w="2812"/>
        <w:gridCol w:w="3256"/>
        <w:gridCol w:w="2053"/>
      </w:tblGrid>
      <w:tr w14:paraId="293C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vAlign w:val="center"/>
          </w:tcPr>
          <w:p w14:paraId="300194E0">
            <w:pPr>
              <w:pStyle w:val="73"/>
              <w:keepLines w:val="0"/>
              <w:pageBreakBefore w:val="0"/>
              <w:kinsoku/>
              <w:overflowPunct/>
              <w:bidi w:val="0"/>
              <w:spacing w:line="360" w:lineRule="auto"/>
              <w:jc w:val="center"/>
              <w:rPr>
                <w:rFonts w:hAnsi="宋体"/>
                <w:b/>
                <w:color w:val="auto"/>
                <w:kern w:val="0"/>
                <w:sz w:val="22"/>
                <w:highlight w:val="none"/>
              </w:rPr>
            </w:pPr>
            <w:r>
              <w:rPr>
                <w:rFonts w:hint="eastAsia" w:hAnsi="宋体"/>
                <w:b/>
                <w:color w:val="auto"/>
                <w:kern w:val="0"/>
                <w:sz w:val="22"/>
                <w:highlight w:val="none"/>
              </w:rPr>
              <w:t>序号</w:t>
            </w:r>
          </w:p>
        </w:tc>
        <w:tc>
          <w:tcPr>
            <w:tcW w:w="1384" w:type="dxa"/>
            <w:noWrap/>
            <w:vAlign w:val="center"/>
          </w:tcPr>
          <w:p w14:paraId="2238F6EE">
            <w:pPr>
              <w:pStyle w:val="73"/>
              <w:keepLines w:val="0"/>
              <w:pageBreakBefore w:val="0"/>
              <w:kinsoku/>
              <w:overflowPunct/>
              <w:bidi w:val="0"/>
              <w:spacing w:line="360" w:lineRule="auto"/>
              <w:jc w:val="center"/>
              <w:rPr>
                <w:rFonts w:hAnsi="宋体"/>
                <w:b/>
                <w:color w:val="auto"/>
                <w:kern w:val="0"/>
                <w:sz w:val="22"/>
                <w:highlight w:val="none"/>
              </w:rPr>
            </w:pPr>
            <w:r>
              <w:rPr>
                <w:rFonts w:hint="eastAsia" w:hAnsi="宋体"/>
                <w:b/>
                <w:color w:val="auto"/>
                <w:highlight w:val="none"/>
                <w:lang w:val="en-US" w:eastAsia="zh-CN"/>
              </w:rPr>
              <w:t>标的名称</w:t>
            </w:r>
          </w:p>
        </w:tc>
        <w:tc>
          <w:tcPr>
            <w:tcW w:w="2812" w:type="dxa"/>
            <w:noWrap/>
            <w:vAlign w:val="center"/>
          </w:tcPr>
          <w:p w14:paraId="2D7E551A">
            <w:pPr>
              <w:pStyle w:val="73"/>
              <w:keepLines w:val="0"/>
              <w:pageBreakBefore w:val="0"/>
              <w:kinsoku/>
              <w:overflowPunct/>
              <w:bidi w:val="0"/>
              <w:spacing w:line="360" w:lineRule="auto"/>
              <w:ind w:firstLine="442" w:firstLineChars="200"/>
              <w:jc w:val="center"/>
              <w:rPr>
                <w:rFonts w:hAnsi="宋体"/>
                <w:b/>
                <w:color w:val="auto"/>
                <w:kern w:val="0"/>
                <w:sz w:val="22"/>
                <w:highlight w:val="none"/>
              </w:rPr>
            </w:pPr>
            <w:r>
              <w:rPr>
                <w:rFonts w:hint="eastAsia" w:hAnsi="宋体"/>
                <w:b/>
                <w:color w:val="auto"/>
                <w:kern w:val="0"/>
                <w:sz w:val="22"/>
                <w:highlight w:val="none"/>
              </w:rPr>
              <w:t>招标文件要求</w:t>
            </w:r>
          </w:p>
        </w:tc>
        <w:tc>
          <w:tcPr>
            <w:tcW w:w="3256" w:type="dxa"/>
            <w:noWrap/>
            <w:vAlign w:val="center"/>
          </w:tcPr>
          <w:p w14:paraId="5D4C768C">
            <w:pPr>
              <w:pStyle w:val="73"/>
              <w:keepLines w:val="0"/>
              <w:pageBreakBefore w:val="0"/>
              <w:kinsoku/>
              <w:overflowPunct/>
              <w:bidi w:val="0"/>
              <w:spacing w:line="360" w:lineRule="auto"/>
              <w:ind w:firstLine="221" w:firstLineChars="100"/>
              <w:jc w:val="center"/>
              <w:rPr>
                <w:rFonts w:hAnsi="宋体"/>
                <w:b/>
                <w:color w:val="auto"/>
                <w:kern w:val="0"/>
                <w:sz w:val="22"/>
                <w:highlight w:val="none"/>
              </w:rPr>
            </w:pPr>
            <w:r>
              <w:rPr>
                <w:rFonts w:hint="eastAsia" w:hAnsi="宋体"/>
                <w:b/>
                <w:color w:val="auto"/>
                <w:kern w:val="0"/>
                <w:sz w:val="22"/>
                <w:highlight w:val="none"/>
              </w:rPr>
              <w:t>投标产品技术配置参数</w:t>
            </w:r>
          </w:p>
        </w:tc>
        <w:tc>
          <w:tcPr>
            <w:tcW w:w="2053" w:type="dxa"/>
            <w:noWrap/>
            <w:vAlign w:val="center"/>
          </w:tcPr>
          <w:p w14:paraId="48770E9C">
            <w:pPr>
              <w:pStyle w:val="73"/>
              <w:keepLines w:val="0"/>
              <w:pageBreakBefore w:val="0"/>
              <w:kinsoku/>
              <w:overflowPunct/>
              <w:bidi w:val="0"/>
              <w:spacing w:line="360" w:lineRule="auto"/>
              <w:jc w:val="center"/>
              <w:rPr>
                <w:rFonts w:hAnsi="宋体"/>
                <w:b/>
                <w:color w:val="auto"/>
                <w:kern w:val="0"/>
                <w:sz w:val="22"/>
                <w:highlight w:val="none"/>
              </w:rPr>
            </w:pPr>
            <w:r>
              <w:rPr>
                <w:rFonts w:hint="eastAsia" w:hAnsi="宋体"/>
                <w:b/>
                <w:color w:val="auto"/>
                <w:kern w:val="0"/>
                <w:sz w:val="22"/>
                <w:highlight w:val="none"/>
              </w:rPr>
              <w:t>偏离说明</w:t>
            </w:r>
          </w:p>
        </w:tc>
      </w:tr>
      <w:tr w14:paraId="14CD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7BB38329">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5FBB0094">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78CCFDCC">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64688935">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290B0B3A">
            <w:pPr>
              <w:pStyle w:val="73"/>
              <w:keepLines w:val="0"/>
              <w:pageBreakBefore w:val="0"/>
              <w:kinsoku/>
              <w:overflowPunct/>
              <w:bidi w:val="0"/>
              <w:spacing w:line="360" w:lineRule="auto"/>
              <w:rPr>
                <w:rFonts w:hAnsi="宋体"/>
                <w:color w:val="auto"/>
                <w:kern w:val="0"/>
                <w:sz w:val="22"/>
                <w:highlight w:val="none"/>
              </w:rPr>
            </w:pPr>
          </w:p>
        </w:tc>
      </w:tr>
      <w:tr w14:paraId="4D08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138886CA">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26E9D610">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042E75E5">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3CEA3808">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2F478DA7">
            <w:pPr>
              <w:pStyle w:val="73"/>
              <w:keepLines w:val="0"/>
              <w:pageBreakBefore w:val="0"/>
              <w:kinsoku/>
              <w:overflowPunct/>
              <w:bidi w:val="0"/>
              <w:spacing w:line="360" w:lineRule="auto"/>
              <w:rPr>
                <w:rFonts w:hAnsi="宋体"/>
                <w:color w:val="auto"/>
                <w:kern w:val="0"/>
                <w:sz w:val="22"/>
                <w:highlight w:val="none"/>
              </w:rPr>
            </w:pPr>
          </w:p>
        </w:tc>
      </w:tr>
      <w:tr w14:paraId="116D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724645AC">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4F2C115F">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0513FE46">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35156F71">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00919C0B">
            <w:pPr>
              <w:pStyle w:val="73"/>
              <w:keepLines w:val="0"/>
              <w:pageBreakBefore w:val="0"/>
              <w:kinsoku/>
              <w:overflowPunct/>
              <w:bidi w:val="0"/>
              <w:spacing w:line="360" w:lineRule="auto"/>
              <w:rPr>
                <w:rFonts w:hAnsi="宋体"/>
                <w:color w:val="auto"/>
                <w:kern w:val="0"/>
                <w:sz w:val="22"/>
                <w:highlight w:val="none"/>
              </w:rPr>
            </w:pPr>
          </w:p>
        </w:tc>
      </w:tr>
      <w:tr w14:paraId="08E5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569C9A72">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71C11987">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2B08C12F">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5440A29F">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6B743637">
            <w:pPr>
              <w:pStyle w:val="73"/>
              <w:keepLines w:val="0"/>
              <w:pageBreakBefore w:val="0"/>
              <w:kinsoku/>
              <w:overflowPunct/>
              <w:bidi w:val="0"/>
              <w:spacing w:line="360" w:lineRule="auto"/>
              <w:rPr>
                <w:rFonts w:hAnsi="宋体"/>
                <w:color w:val="auto"/>
                <w:kern w:val="0"/>
                <w:sz w:val="22"/>
                <w:highlight w:val="none"/>
              </w:rPr>
            </w:pPr>
          </w:p>
        </w:tc>
      </w:tr>
      <w:tr w14:paraId="1333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775998DA">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5A1BA71C">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414968F6">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195B8AD7">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1158B255">
            <w:pPr>
              <w:pStyle w:val="73"/>
              <w:keepLines w:val="0"/>
              <w:pageBreakBefore w:val="0"/>
              <w:kinsoku/>
              <w:overflowPunct/>
              <w:bidi w:val="0"/>
              <w:spacing w:line="360" w:lineRule="auto"/>
              <w:rPr>
                <w:rFonts w:hAnsi="宋体"/>
                <w:color w:val="auto"/>
                <w:kern w:val="0"/>
                <w:sz w:val="22"/>
                <w:highlight w:val="none"/>
              </w:rPr>
            </w:pPr>
          </w:p>
        </w:tc>
      </w:tr>
      <w:tr w14:paraId="3F57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1137CAC2">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15F7B407">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0AF86420">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1C3D2F08">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7DCECC93">
            <w:pPr>
              <w:pStyle w:val="73"/>
              <w:keepLines w:val="0"/>
              <w:pageBreakBefore w:val="0"/>
              <w:kinsoku/>
              <w:overflowPunct/>
              <w:bidi w:val="0"/>
              <w:spacing w:line="360" w:lineRule="auto"/>
              <w:rPr>
                <w:rFonts w:hAnsi="宋体"/>
                <w:color w:val="auto"/>
                <w:kern w:val="0"/>
                <w:sz w:val="22"/>
                <w:highlight w:val="none"/>
              </w:rPr>
            </w:pPr>
          </w:p>
        </w:tc>
      </w:tr>
      <w:tr w14:paraId="3813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42FBDB35">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2C33FA81">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070B4228">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1BB5C3C1">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6151BAF0">
            <w:pPr>
              <w:pStyle w:val="73"/>
              <w:keepLines w:val="0"/>
              <w:pageBreakBefore w:val="0"/>
              <w:kinsoku/>
              <w:overflowPunct/>
              <w:bidi w:val="0"/>
              <w:spacing w:line="360" w:lineRule="auto"/>
              <w:rPr>
                <w:rFonts w:hAnsi="宋体"/>
                <w:color w:val="auto"/>
                <w:kern w:val="0"/>
                <w:sz w:val="22"/>
                <w:highlight w:val="none"/>
              </w:rPr>
            </w:pPr>
          </w:p>
        </w:tc>
      </w:tr>
      <w:tr w14:paraId="427B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558C432B">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1333721D">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0D06FF1D">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3D244C05">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69C875F7">
            <w:pPr>
              <w:pStyle w:val="73"/>
              <w:keepLines w:val="0"/>
              <w:pageBreakBefore w:val="0"/>
              <w:kinsoku/>
              <w:overflowPunct/>
              <w:bidi w:val="0"/>
              <w:spacing w:line="360" w:lineRule="auto"/>
              <w:rPr>
                <w:rFonts w:hAnsi="宋体"/>
                <w:color w:val="auto"/>
                <w:kern w:val="0"/>
                <w:sz w:val="22"/>
                <w:highlight w:val="none"/>
              </w:rPr>
            </w:pPr>
          </w:p>
        </w:tc>
      </w:tr>
      <w:tr w14:paraId="6A3C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2C2F412E">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7882227A">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65570441">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6070DB35">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4F837799">
            <w:pPr>
              <w:pStyle w:val="73"/>
              <w:keepLines w:val="0"/>
              <w:pageBreakBefore w:val="0"/>
              <w:kinsoku/>
              <w:overflowPunct/>
              <w:bidi w:val="0"/>
              <w:spacing w:line="360" w:lineRule="auto"/>
              <w:rPr>
                <w:rFonts w:hAnsi="宋体"/>
                <w:color w:val="auto"/>
                <w:kern w:val="0"/>
                <w:sz w:val="22"/>
                <w:highlight w:val="none"/>
              </w:rPr>
            </w:pPr>
          </w:p>
        </w:tc>
      </w:tr>
      <w:tr w14:paraId="3BA7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329EBB91">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3DED196B">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1DED44B6">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2DD99D7A">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1A63CAC1">
            <w:pPr>
              <w:pStyle w:val="73"/>
              <w:keepLines w:val="0"/>
              <w:pageBreakBefore w:val="0"/>
              <w:kinsoku/>
              <w:overflowPunct/>
              <w:bidi w:val="0"/>
              <w:spacing w:line="360" w:lineRule="auto"/>
              <w:rPr>
                <w:rFonts w:hAnsi="宋体"/>
                <w:color w:val="auto"/>
                <w:kern w:val="0"/>
                <w:sz w:val="22"/>
                <w:highlight w:val="none"/>
              </w:rPr>
            </w:pPr>
          </w:p>
        </w:tc>
      </w:tr>
      <w:tr w14:paraId="3FB0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6EEA3A14">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04413C57">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1010B3AD">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2EF466E7">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2CE70E11">
            <w:pPr>
              <w:pStyle w:val="73"/>
              <w:keepLines w:val="0"/>
              <w:pageBreakBefore w:val="0"/>
              <w:kinsoku/>
              <w:overflowPunct/>
              <w:bidi w:val="0"/>
              <w:spacing w:line="360" w:lineRule="auto"/>
              <w:rPr>
                <w:rFonts w:hAnsi="宋体"/>
                <w:color w:val="auto"/>
                <w:kern w:val="0"/>
                <w:sz w:val="22"/>
                <w:highlight w:val="none"/>
              </w:rPr>
            </w:pPr>
          </w:p>
        </w:tc>
      </w:tr>
      <w:tr w14:paraId="5ED1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3F785F2B">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1E95F346">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4C3F5420">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283EAC9F">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6C60AFEF">
            <w:pPr>
              <w:pStyle w:val="73"/>
              <w:keepLines w:val="0"/>
              <w:pageBreakBefore w:val="0"/>
              <w:kinsoku/>
              <w:overflowPunct/>
              <w:bidi w:val="0"/>
              <w:spacing w:line="360" w:lineRule="auto"/>
              <w:rPr>
                <w:rFonts w:hAnsi="宋体"/>
                <w:color w:val="auto"/>
                <w:kern w:val="0"/>
                <w:sz w:val="22"/>
                <w:highlight w:val="none"/>
              </w:rPr>
            </w:pPr>
          </w:p>
        </w:tc>
      </w:tr>
      <w:tr w14:paraId="76C0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50F0E2CB">
            <w:pPr>
              <w:pStyle w:val="73"/>
              <w:keepLines w:val="0"/>
              <w:pageBreakBefore w:val="0"/>
              <w:kinsoku/>
              <w:overflowPunct/>
              <w:bidi w:val="0"/>
              <w:spacing w:line="360" w:lineRule="auto"/>
              <w:rPr>
                <w:rFonts w:hAnsi="宋体"/>
                <w:color w:val="auto"/>
                <w:kern w:val="0"/>
                <w:sz w:val="22"/>
                <w:highlight w:val="none"/>
              </w:rPr>
            </w:pPr>
          </w:p>
        </w:tc>
        <w:tc>
          <w:tcPr>
            <w:tcW w:w="1384" w:type="dxa"/>
            <w:noWrap/>
          </w:tcPr>
          <w:p w14:paraId="67EF38EB">
            <w:pPr>
              <w:pStyle w:val="73"/>
              <w:keepLines w:val="0"/>
              <w:pageBreakBefore w:val="0"/>
              <w:kinsoku/>
              <w:overflowPunct/>
              <w:bidi w:val="0"/>
              <w:spacing w:line="360" w:lineRule="auto"/>
              <w:rPr>
                <w:rFonts w:hAnsi="宋体"/>
                <w:color w:val="auto"/>
                <w:kern w:val="0"/>
                <w:sz w:val="22"/>
                <w:highlight w:val="none"/>
              </w:rPr>
            </w:pPr>
          </w:p>
        </w:tc>
        <w:tc>
          <w:tcPr>
            <w:tcW w:w="2812" w:type="dxa"/>
            <w:noWrap/>
          </w:tcPr>
          <w:p w14:paraId="37460FB8">
            <w:pPr>
              <w:pStyle w:val="73"/>
              <w:keepLines w:val="0"/>
              <w:pageBreakBefore w:val="0"/>
              <w:kinsoku/>
              <w:overflowPunct/>
              <w:bidi w:val="0"/>
              <w:spacing w:line="360" w:lineRule="auto"/>
              <w:rPr>
                <w:rFonts w:hAnsi="宋体"/>
                <w:color w:val="auto"/>
                <w:kern w:val="0"/>
                <w:sz w:val="22"/>
                <w:highlight w:val="none"/>
              </w:rPr>
            </w:pPr>
          </w:p>
        </w:tc>
        <w:tc>
          <w:tcPr>
            <w:tcW w:w="3256" w:type="dxa"/>
            <w:noWrap/>
          </w:tcPr>
          <w:p w14:paraId="641950F9">
            <w:pPr>
              <w:pStyle w:val="73"/>
              <w:keepLines w:val="0"/>
              <w:pageBreakBefore w:val="0"/>
              <w:kinsoku/>
              <w:overflowPunct/>
              <w:bidi w:val="0"/>
              <w:spacing w:line="360" w:lineRule="auto"/>
              <w:rPr>
                <w:rFonts w:hAnsi="宋体"/>
                <w:color w:val="auto"/>
                <w:kern w:val="0"/>
                <w:sz w:val="22"/>
                <w:highlight w:val="none"/>
              </w:rPr>
            </w:pPr>
          </w:p>
        </w:tc>
        <w:tc>
          <w:tcPr>
            <w:tcW w:w="2053" w:type="dxa"/>
            <w:noWrap/>
          </w:tcPr>
          <w:p w14:paraId="600896BC">
            <w:pPr>
              <w:pStyle w:val="73"/>
              <w:keepLines w:val="0"/>
              <w:pageBreakBefore w:val="0"/>
              <w:kinsoku/>
              <w:overflowPunct/>
              <w:bidi w:val="0"/>
              <w:spacing w:line="360" w:lineRule="auto"/>
              <w:rPr>
                <w:rFonts w:hAnsi="宋体"/>
                <w:color w:val="auto"/>
                <w:kern w:val="0"/>
                <w:sz w:val="22"/>
                <w:highlight w:val="none"/>
              </w:rPr>
            </w:pPr>
          </w:p>
        </w:tc>
      </w:tr>
    </w:tbl>
    <w:p w14:paraId="2F7CDB1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p>
    <w:p w14:paraId="6E3FCA9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r>
        <w:rPr>
          <w:rFonts w:hint="eastAsia" w:ascii="宋体" w:hAnsi="宋体" w:cs="宋体"/>
          <w:color w:val="auto"/>
          <w:highlight w:val="none"/>
        </w:rPr>
        <w:t>注：1.供应商需把招标文件第六章中第二部分项目技术指标</w:t>
      </w:r>
      <w:r>
        <w:rPr>
          <w:rFonts w:hint="eastAsia" w:ascii="宋体" w:hAnsi="宋体" w:cs="宋体"/>
          <w:color w:val="auto"/>
          <w:highlight w:val="none"/>
          <w:lang w:eastAsia="zh-CN"/>
        </w:rPr>
        <w:t>（除项目概况以外）</w:t>
      </w:r>
      <w:r>
        <w:rPr>
          <w:rFonts w:hint="eastAsia" w:ascii="宋体" w:hAnsi="宋体" w:cs="宋体"/>
          <w:color w:val="auto"/>
          <w:highlight w:val="none"/>
        </w:rPr>
        <w:t>的全部技术配置参数逐条列入此表。</w:t>
      </w:r>
    </w:p>
    <w:p w14:paraId="0E480F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2.投标人必须据实填写，不得虚假应答，否则将取消其投标或中标资格。</w:t>
      </w:r>
    </w:p>
    <w:p w14:paraId="1AE64DA1">
      <w:pPr>
        <w:keepNext w:val="0"/>
        <w:keepLines w:val="0"/>
        <w:pageBreakBefore w:val="0"/>
        <w:widowControl/>
        <w:kinsoku/>
        <w:wordWrap/>
        <w:overflowPunct/>
        <w:topLinePunct w:val="0"/>
        <w:autoSpaceDE/>
        <w:autoSpaceDN/>
        <w:bidi w:val="0"/>
        <w:adjustRightInd w:val="0"/>
        <w:snapToGrid w:val="0"/>
        <w:spacing w:line="360" w:lineRule="auto"/>
        <w:textAlignment w:val="auto"/>
        <w:rPr>
          <w:color w:val="auto"/>
          <w:highlight w:val="none"/>
        </w:rPr>
      </w:pPr>
    </w:p>
    <w:p w14:paraId="51703A3C">
      <w:pPr>
        <w:keepLines w:val="0"/>
        <w:pageBreakBefore w:val="0"/>
        <w:kinsoku/>
        <w:overflowPunct/>
        <w:bidi w:val="0"/>
        <w:adjustRightInd w:val="0"/>
        <w:spacing w:line="360" w:lineRule="auto"/>
        <w:rPr>
          <w:rFonts w:hAnsi="宋体"/>
          <w:color w:val="auto"/>
          <w:highlight w:val="none"/>
        </w:rPr>
      </w:pPr>
      <w:r>
        <w:rPr>
          <w:rFonts w:hint="eastAsia" w:hAnsi="宋体"/>
          <w:color w:val="auto"/>
          <w:highlight w:val="none"/>
        </w:rPr>
        <w:t>投标人名称（盖单位公章）：</w:t>
      </w:r>
    </w:p>
    <w:p w14:paraId="4EA4FD1C">
      <w:pPr>
        <w:keepLines w:val="0"/>
        <w:pageBreakBefore w:val="0"/>
        <w:kinsoku/>
        <w:overflowPunct/>
        <w:bidi w:val="0"/>
        <w:adjustRightInd w:val="0"/>
        <w:spacing w:line="360" w:lineRule="auto"/>
        <w:rPr>
          <w:rFonts w:hAnsi="宋体"/>
          <w:color w:val="auto"/>
          <w:highlight w:val="none"/>
        </w:rPr>
      </w:pPr>
      <w:r>
        <w:rPr>
          <w:rFonts w:hint="eastAsia" w:hAnsi="宋体"/>
          <w:color w:val="auto"/>
          <w:highlight w:val="none"/>
        </w:rPr>
        <w:t>法定代表人或授权代表（签字）：</w:t>
      </w:r>
    </w:p>
    <w:p w14:paraId="1DEA80D4">
      <w:pPr>
        <w:keepLines w:val="0"/>
        <w:pageBreakBefore w:val="0"/>
        <w:kinsoku/>
        <w:overflowPunct/>
        <w:bidi w:val="0"/>
        <w:spacing w:line="360" w:lineRule="auto"/>
        <w:rPr>
          <w:rFonts w:hAnsi="宋体"/>
          <w:color w:val="auto"/>
          <w:highlight w:val="none"/>
        </w:rPr>
        <w:sectPr>
          <w:headerReference r:id="rId24" w:type="first"/>
          <w:footerReference r:id="rId26" w:type="first"/>
          <w:headerReference r:id="rId23" w:type="default"/>
          <w:footerReference r:id="rId25"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hAnsi="宋体"/>
          <w:color w:val="auto"/>
          <w:highlight w:val="none"/>
        </w:rPr>
        <w:t>日期</w:t>
      </w:r>
      <w:r>
        <w:rPr>
          <w:rFonts w:hAnsi="宋体"/>
          <w:color w:val="auto"/>
          <w:highlight w:val="none"/>
        </w:rPr>
        <w:t>:</w:t>
      </w:r>
    </w:p>
    <w:p w14:paraId="33B5B939">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九、投标人基本情况表</w:t>
      </w:r>
      <w:bookmarkEnd w:id="144"/>
    </w:p>
    <w:p w14:paraId="0C066673">
      <w:pPr>
        <w:keepLines w:val="0"/>
        <w:pageBreakBefore w:val="0"/>
        <w:kinsoku/>
        <w:overflowPunct/>
        <w:bidi w:val="0"/>
        <w:spacing w:line="360" w:lineRule="auto"/>
        <w:rPr>
          <w:rFonts w:hint="eastAsia" w:hAnsi="宋体"/>
          <w:b/>
          <w:color w:val="auto"/>
          <w:highlight w:val="none"/>
        </w:rPr>
      </w:pPr>
      <w:r>
        <w:rPr>
          <w:rFonts w:hint="eastAsia" w:hAnsi="宋体"/>
          <w:b/>
          <w:color w:val="auto"/>
          <w:highlight w:val="none"/>
        </w:rPr>
        <w:t xml:space="preserve">项目名称：   </w:t>
      </w:r>
    </w:p>
    <w:p w14:paraId="42A72564">
      <w:pPr>
        <w:keepLines w:val="0"/>
        <w:pageBreakBefore w:val="0"/>
        <w:kinsoku/>
        <w:overflowPunct/>
        <w:bidi w:val="0"/>
        <w:spacing w:line="360" w:lineRule="auto"/>
        <w:rPr>
          <w:rFonts w:hint="default" w:hAnsi="宋体" w:eastAsia="宋体"/>
          <w:b/>
          <w:color w:val="auto"/>
          <w:highlight w:val="none"/>
          <w:u w:val="single"/>
          <w:lang w:val="en-US" w:eastAsia="zh-CN"/>
        </w:rPr>
      </w:pPr>
      <w:r>
        <w:rPr>
          <w:rFonts w:hint="eastAsia" w:hAnsi="宋体"/>
          <w:b/>
          <w:color w:val="auto"/>
          <w:highlight w:val="none"/>
        </w:rPr>
        <w:t>招标</w:t>
      </w:r>
      <w:r>
        <w:rPr>
          <w:rFonts w:hint="eastAsia" w:hAnsi="宋体"/>
          <w:b/>
          <w:color w:val="auto"/>
          <w:highlight w:val="none"/>
          <w:u w:val="none"/>
        </w:rPr>
        <w:t xml:space="preserve">编号： </w:t>
      </w:r>
      <w:r>
        <w:rPr>
          <w:rFonts w:hint="eastAsia" w:hAnsi="宋体"/>
          <w:b/>
          <w:color w:val="auto"/>
          <w:highlight w:val="none"/>
          <w:u w:val="none"/>
          <w:lang w:val="en-US" w:eastAsia="zh-CN"/>
        </w:rPr>
        <w:t xml:space="preserve">                    </w:t>
      </w:r>
      <w:r>
        <w:rPr>
          <w:rFonts w:hint="eastAsia" w:hAnsi="宋体"/>
          <w:b/>
          <w:color w:val="auto"/>
          <w:highlight w:val="none"/>
          <w:u w:val="single"/>
          <w:lang w:val="en-US" w:eastAsia="zh-CN"/>
        </w:rPr>
        <w:t xml:space="preserve">          </w:t>
      </w:r>
    </w:p>
    <w:tbl>
      <w:tblPr>
        <w:tblStyle w:val="48"/>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92"/>
        <w:gridCol w:w="1087"/>
        <w:gridCol w:w="1365"/>
        <w:gridCol w:w="1405"/>
        <w:gridCol w:w="8"/>
        <w:gridCol w:w="1485"/>
        <w:gridCol w:w="1317"/>
        <w:gridCol w:w="1212"/>
      </w:tblGrid>
      <w:tr w14:paraId="16BEB7A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06FF9343">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投标人名称</w:t>
            </w:r>
          </w:p>
        </w:tc>
        <w:tc>
          <w:tcPr>
            <w:tcW w:w="7879" w:type="dxa"/>
            <w:gridSpan w:val="7"/>
            <w:noWrap/>
            <w:vAlign w:val="center"/>
          </w:tcPr>
          <w:p w14:paraId="4D007E39">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02F4396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66E9158B">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注册地址</w:t>
            </w:r>
          </w:p>
        </w:tc>
        <w:tc>
          <w:tcPr>
            <w:tcW w:w="3865" w:type="dxa"/>
            <w:gridSpan w:val="4"/>
            <w:noWrap/>
            <w:vAlign w:val="center"/>
          </w:tcPr>
          <w:p w14:paraId="540A410C">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85" w:type="dxa"/>
            <w:noWrap/>
            <w:vAlign w:val="center"/>
          </w:tcPr>
          <w:p w14:paraId="0E4A57A1">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邮政编码</w:t>
            </w:r>
          </w:p>
        </w:tc>
        <w:tc>
          <w:tcPr>
            <w:tcW w:w="2529" w:type="dxa"/>
            <w:gridSpan w:val="2"/>
            <w:noWrap/>
            <w:vAlign w:val="center"/>
          </w:tcPr>
          <w:p w14:paraId="01A9BE4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5FB6910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Merge w:val="restart"/>
            <w:noWrap/>
            <w:vAlign w:val="center"/>
          </w:tcPr>
          <w:p w14:paraId="091C6BF3">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联系方式</w:t>
            </w:r>
          </w:p>
        </w:tc>
        <w:tc>
          <w:tcPr>
            <w:tcW w:w="1087" w:type="dxa"/>
            <w:noWrap/>
            <w:vAlign w:val="center"/>
          </w:tcPr>
          <w:p w14:paraId="291A69FF">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联系人</w:t>
            </w:r>
          </w:p>
        </w:tc>
        <w:tc>
          <w:tcPr>
            <w:tcW w:w="2770" w:type="dxa"/>
            <w:gridSpan w:val="2"/>
            <w:noWrap/>
            <w:vAlign w:val="center"/>
          </w:tcPr>
          <w:p w14:paraId="02374CC0">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93" w:type="dxa"/>
            <w:gridSpan w:val="2"/>
            <w:noWrap/>
            <w:vAlign w:val="center"/>
          </w:tcPr>
          <w:p w14:paraId="2FD01985">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电话</w:t>
            </w:r>
          </w:p>
        </w:tc>
        <w:tc>
          <w:tcPr>
            <w:tcW w:w="2529" w:type="dxa"/>
            <w:gridSpan w:val="2"/>
            <w:noWrap/>
            <w:vAlign w:val="center"/>
          </w:tcPr>
          <w:p w14:paraId="04E1BE0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44804AC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692" w:type="dxa"/>
            <w:vMerge w:val="continue"/>
            <w:noWrap/>
            <w:vAlign w:val="center"/>
          </w:tcPr>
          <w:p w14:paraId="17D04A9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087" w:type="dxa"/>
            <w:noWrap/>
            <w:vAlign w:val="center"/>
          </w:tcPr>
          <w:p w14:paraId="349B880F">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传真</w:t>
            </w:r>
          </w:p>
        </w:tc>
        <w:tc>
          <w:tcPr>
            <w:tcW w:w="2770" w:type="dxa"/>
            <w:gridSpan w:val="2"/>
            <w:noWrap/>
            <w:vAlign w:val="center"/>
          </w:tcPr>
          <w:p w14:paraId="60FA9037">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93" w:type="dxa"/>
            <w:gridSpan w:val="2"/>
            <w:noWrap/>
            <w:vAlign w:val="center"/>
          </w:tcPr>
          <w:p w14:paraId="14669462">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网址</w:t>
            </w:r>
          </w:p>
        </w:tc>
        <w:tc>
          <w:tcPr>
            <w:tcW w:w="2529" w:type="dxa"/>
            <w:gridSpan w:val="2"/>
            <w:noWrap/>
            <w:vAlign w:val="center"/>
          </w:tcPr>
          <w:p w14:paraId="0A59A79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1B35D46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5D14D8BC">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组织结构</w:t>
            </w:r>
          </w:p>
        </w:tc>
        <w:tc>
          <w:tcPr>
            <w:tcW w:w="7879" w:type="dxa"/>
            <w:gridSpan w:val="7"/>
            <w:noWrap/>
            <w:vAlign w:val="center"/>
          </w:tcPr>
          <w:p w14:paraId="0271A4BC">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7A3D588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692" w:type="dxa"/>
            <w:noWrap/>
            <w:vAlign w:val="center"/>
          </w:tcPr>
          <w:p w14:paraId="235A9DF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法定代表人</w:t>
            </w:r>
          </w:p>
        </w:tc>
        <w:tc>
          <w:tcPr>
            <w:tcW w:w="1087" w:type="dxa"/>
            <w:noWrap/>
            <w:vAlign w:val="center"/>
          </w:tcPr>
          <w:p w14:paraId="4D3FC33B">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姓名</w:t>
            </w:r>
          </w:p>
        </w:tc>
        <w:tc>
          <w:tcPr>
            <w:tcW w:w="1365" w:type="dxa"/>
            <w:noWrap/>
            <w:vAlign w:val="center"/>
          </w:tcPr>
          <w:p w14:paraId="374730AE">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05" w:type="dxa"/>
            <w:noWrap/>
            <w:vAlign w:val="center"/>
          </w:tcPr>
          <w:p w14:paraId="3E7D9E11">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技术职称</w:t>
            </w:r>
          </w:p>
        </w:tc>
        <w:tc>
          <w:tcPr>
            <w:tcW w:w="1493" w:type="dxa"/>
            <w:gridSpan w:val="2"/>
            <w:noWrap/>
            <w:vAlign w:val="center"/>
          </w:tcPr>
          <w:p w14:paraId="356505F0">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317" w:type="dxa"/>
            <w:noWrap/>
            <w:vAlign w:val="center"/>
          </w:tcPr>
          <w:p w14:paraId="0DB2DE6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电话</w:t>
            </w:r>
          </w:p>
        </w:tc>
        <w:tc>
          <w:tcPr>
            <w:tcW w:w="1212" w:type="dxa"/>
            <w:noWrap/>
            <w:vAlign w:val="center"/>
          </w:tcPr>
          <w:p w14:paraId="358ABA7E">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317C4E6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692" w:type="dxa"/>
            <w:noWrap/>
            <w:vAlign w:val="center"/>
          </w:tcPr>
          <w:p w14:paraId="561C5AA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技术负责人</w:t>
            </w:r>
          </w:p>
        </w:tc>
        <w:tc>
          <w:tcPr>
            <w:tcW w:w="1087" w:type="dxa"/>
            <w:noWrap/>
            <w:vAlign w:val="center"/>
          </w:tcPr>
          <w:p w14:paraId="26DD4D77">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姓名</w:t>
            </w:r>
          </w:p>
        </w:tc>
        <w:tc>
          <w:tcPr>
            <w:tcW w:w="1365" w:type="dxa"/>
            <w:noWrap/>
            <w:vAlign w:val="center"/>
          </w:tcPr>
          <w:p w14:paraId="7AC0D50E">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05" w:type="dxa"/>
            <w:noWrap/>
            <w:vAlign w:val="center"/>
          </w:tcPr>
          <w:p w14:paraId="125807C9">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技术职称</w:t>
            </w:r>
          </w:p>
        </w:tc>
        <w:tc>
          <w:tcPr>
            <w:tcW w:w="1493" w:type="dxa"/>
            <w:gridSpan w:val="2"/>
            <w:noWrap/>
            <w:vAlign w:val="center"/>
          </w:tcPr>
          <w:p w14:paraId="404BA55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317" w:type="dxa"/>
            <w:noWrap/>
            <w:vAlign w:val="center"/>
          </w:tcPr>
          <w:p w14:paraId="40FD4C42">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电话</w:t>
            </w:r>
          </w:p>
        </w:tc>
        <w:tc>
          <w:tcPr>
            <w:tcW w:w="1212" w:type="dxa"/>
            <w:noWrap/>
            <w:vAlign w:val="center"/>
          </w:tcPr>
          <w:p w14:paraId="61749577">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53AAA39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79A02F4A">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成立时间</w:t>
            </w:r>
          </w:p>
        </w:tc>
        <w:tc>
          <w:tcPr>
            <w:tcW w:w="2452" w:type="dxa"/>
            <w:gridSpan w:val="2"/>
            <w:noWrap/>
            <w:vAlign w:val="center"/>
          </w:tcPr>
          <w:p w14:paraId="0E64BF9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5427" w:type="dxa"/>
            <w:gridSpan w:val="5"/>
            <w:noWrap/>
            <w:vAlign w:val="center"/>
          </w:tcPr>
          <w:p w14:paraId="161CCBF5">
            <w:pPr>
              <w:keepLines w:val="0"/>
              <w:pageBreakBefore w:val="0"/>
              <w:kinsoku/>
              <w:overflowPunct/>
              <w:autoSpaceDE w:val="0"/>
              <w:autoSpaceDN w:val="0"/>
              <w:bidi w:val="0"/>
              <w:adjustRightInd w:val="0"/>
              <w:spacing w:line="360" w:lineRule="auto"/>
              <w:ind w:firstLine="1540" w:firstLineChars="700"/>
              <w:outlineLvl w:val="5"/>
              <w:rPr>
                <w:rFonts w:hAnsi="宋体" w:cs="宋体"/>
                <w:color w:val="auto"/>
                <w:sz w:val="22"/>
                <w:highlight w:val="none"/>
              </w:rPr>
            </w:pPr>
            <w:r>
              <w:rPr>
                <w:rFonts w:hint="eastAsia" w:hAnsi="宋体" w:cs="宋体"/>
                <w:color w:val="auto"/>
                <w:sz w:val="22"/>
                <w:highlight w:val="none"/>
              </w:rPr>
              <w:t>员工总人数：</w:t>
            </w:r>
          </w:p>
        </w:tc>
      </w:tr>
      <w:tr w14:paraId="0453352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4DAA2E7E">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企业资质等级</w:t>
            </w:r>
          </w:p>
        </w:tc>
        <w:tc>
          <w:tcPr>
            <w:tcW w:w="7879" w:type="dxa"/>
            <w:gridSpan w:val="7"/>
            <w:tcBorders>
              <w:bottom w:val="single" w:color="auto" w:sz="4" w:space="0"/>
            </w:tcBorders>
            <w:noWrap/>
            <w:vAlign w:val="center"/>
          </w:tcPr>
          <w:p w14:paraId="0A0F4B85">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0F9C220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08862FB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营业执照号</w:t>
            </w:r>
          </w:p>
        </w:tc>
        <w:tc>
          <w:tcPr>
            <w:tcW w:w="7879" w:type="dxa"/>
            <w:gridSpan w:val="7"/>
            <w:tcBorders>
              <w:top w:val="single" w:color="auto" w:sz="4" w:space="0"/>
              <w:bottom w:val="single" w:color="auto" w:sz="4" w:space="0"/>
            </w:tcBorders>
            <w:noWrap/>
            <w:vAlign w:val="center"/>
          </w:tcPr>
          <w:p w14:paraId="5FE4ADDF">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111121C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4C7A7DF7">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注册资金</w:t>
            </w:r>
          </w:p>
        </w:tc>
        <w:tc>
          <w:tcPr>
            <w:tcW w:w="7879" w:type="dxa"/>
            <w:gridSpan w:val="7"/>
            <w:tcBorders>
              <w:top w:val="single" w:color="auto" w:sz="4" w:space="0"/>
              <w:bottom w:val="single" w:color="auto" w:sz="4" w:space="0"/>
            </w:tcBorders>
            <w:noWrap/>
            <w:vAlign w:val="center"/>
          </w:tcPr>
          <w:p w14:paraId="6795662A">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1D2A3D9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4E61B4A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开户银行</w:t>
            </w:r>
          </w:p>
        </w:tc>
        <w:tc>
          <w:tcPr>
            <w:tcW w:w="7879" w:type="dxa"/>
            <w:gridSpan w:val="7"/>
            <w:tcBorders>
              <w:top w:val="single" w:color="auto" w:sz="4" w:space="0"/>
              <w:bottom w:val="single" w:color="auto" w:sz="4" w:space="0"/>
            </w:tcBorders>
            <w:noWrap/>
            <w:vAlign w:val="center"/>
          </w:tcPr>
          <w:p w14:paraId="1CC1B831">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56DC670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10A83D95">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账号</w:t>
            </w:r>
          </w:p>
        </w:tc>
        <w:tc>
          <w:tcPr>
            <w:tcW w:w="7879" w:type="dxa"/>
            <w:gridSpan w:val="7"/>
            <w:tcBorders>
              <w:top w:val="single" w:color="auto" w:sz="4" w:space="0"/>
            </w:tcBorders>
            <w:noWrap/>
            <w:vAlign w:val="center"/>
          </w:tcPr>
          <w:p w14:paraId="29BFB93B">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08C19F6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692" w:type="dxa"/>
            <w:noWrap/>
            <w:vAlign w:val="center"/>
          </w:tcPr>
          <w:p w14:paraId="50586F81">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经营范围</w:t>
            </w:r>
          </w:p>
        </w:tc>
        <w:tc>
          <w:tcPr>
            <w:tcW w:w="7879" w:type="dxa"/>
            <w:gridSpan w:val="7"/>
            <w:noWrap/>
            <w:vAlign w:val="center"/>
          </w:tcPr>
          <w:p w14:paraId="519E9E51">
            <w:pPr>
              <w:keepLines w:val="0"/>
              <w:pageBreakBefore w:val="0"/>
              <w:kinsoku/>
              <w:overflowPunct/>
              <w:autoSpaceDE w:val="0"/>
              <w:autoSpaceDN w:val="0"/>
              <w:bidi w:val="0"/>
              <w:adjustRightInd w:val="0"/>
              <w:spacing w:line="360" w:lineRule="auto"/>
              <w:outlineLvl w:val="5"/>
              <w:rPr>
                <w:rFonts w:hAnsi="宋体" w:cs="宋体"/>
                <w:b/>
                <w:bCs/>
                <w:color w:val="auto"/>
                <w:sz w:val="22"/>
                <w:highlight w:val="none"/>
              </w:rPr>
            </w:pPr>
          </w:p>
        </w:tc>
      </w:tr>
      <w:tr w14:paraId="19E1893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692" w:type="dxa"/>
            <w:noWrap/>
            <w:vAlign w:val="center"/>
          </w:tcPr>
          <w:p w14:paraId="69C0A408">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备注</w:t>
            </w:r>
          </w:p>
        </w:tc>
        <w:tc>
          <w:tcPr>
            <w:tcW w:w="7879" w:type="dxa"/>
            <w:gridSpan w:val="7"/>
            <w:noWrap/>
          </w:tcPr>
          <w:p w14:paraId="79F21AC7">
            <w:pPr>
              <w:keepLines w:val="0"/>
              <w:pageBreakBefore w:val="0"/>
              <w:kinsoku/>
              <w:overflowPunct/>
              <w:autoSpaceDE w:val="0"/>
              <w:autoSpaceDN w:val="0"/>
              <w:bidi w:val="0"/>
              <w:adjustRightInd w:val="0"/>
              <w:spacing w:line="360" w:lineRule="auto"/>
              <w:outlineLvl w:val="5"/>
              <w:rPr>
                <w:rFonts w:hAnsi="宋体" w:cs="宋体"/>
                <w:color w:val="auto"/>
                <w:sz w:val="22"/>
                <w:highlight w:val="none"/>
              </w:rPr>
            </w:pPr>
          </w:p>
        </w:tc>
      </w:tr>
    </w:tbl>
    <w:p w14:paraId="3B35DFD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67FF19EF">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投标人名称（盖单位公章）：</w:t>
      </w:r>
    </w:p>
    <w:p w14:paraId="36B3040D">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法定代表人或授权代表（签字）：</w:t>
      </w:r>
    </w:p>
    <w:p w14:paraId="3A3AD43C">
      <w:pPr>
        <w:keepLines w:val="0"/>
        <w:pageBreakBefore w:val="0"/>
        <w:kinsoku/>
        <w:overflowPunct/>
        <w:bidi w:val="0"/>
        <w:adjustRightInd w:val="0"/>
        <w:spacing w:line="360" w:lineRule="auto"/>
        <w:rPr>
          <w:rFonts w:hint="eastAsia" w:hAnsi="宋体"/>
          <w:color w:val="auto"/>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olor w:val="auto"/>
          <w:highlight w:val="none"/>
        </w:rPr>
        <w:t>日期</w:t>
      </w:r>
      <w:r>
        <w:rPr>
          <w:rFonts w:hint="eastAsia" w:hAnsi="宋体"/>
          <w:color w:val="auto"/>
          <w:highlight w:val="none"/>
          <w:lang w:eastAsia="zh-CN"/>
        </w:rPr>
        <w:t>：</w:t>
      </w:r>
      <w:bookmarkStart w:id="145" w:name="_Toc217446089"/>
    </w:p>
    <w:p w14:paraId="4D2B649C">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十、类似项目业绩一览表</w:t>
      </w:r>
      <w:bookmarkEnd w:id="145"/>
      <w:r>
        <w:rPr>
          <w:rFonts w:hint="eastAsia"/>
          <w:color w:val="auto"/>
          <w:sz w:val="32"/>
          <w:szCs w:val="32"/>
          <w:highlight w:val="none"/>
          <w:lang w:val="en-US" w:eastAsia="zh-CN"/>
        </w:rPr>
        <w:t>（如适用）</w:t>
      </w:r>
    </w:p>
    <w:p w14:paraId="14450564">
      <w:pPr>
        <w:keepLines w:val="0"/>
        <w:pageBreakBefore w:val="0"/>
        <w:kinsoku/>
        <w:overflowPunct/>
        <w:bidi w:val="0"/>
        <w:spacing w:line="360" w:lineRule="auto"/>
        <w:rPr>
          <w:rFonts w:hint="eastAsia" w:hAnsi="宋体"/>
          <w:b/>
          <w:color w:val="auto"/>
          <w:highlight w:val="none"/>
        </w:rPr>
      </w:pPr>
      <w:r>
        <w:rPr>
          <w:rFonts w:hint="eastAsia" w:hAnsi="宋体"/>
          <w:b/>
          <w:color w:val="auto"/>
          <w:highlight w:val="none"/>
        </w:rPr>
        <w:t xml:space="preserve">项目名称：   </w:t>
      </w:r>
    </w:p>
    <w:p w14:paraId="1632763A">
      <w:pPr>
        <w:keepLines w:val="0"/>
        <w:pageBreakBefore w:val="0"/>
        <w:kinsoku/>
        <w:overflowPunct/>
        <w:bidi w:val="0"/>
        <w:spacing w:line="360" w:lineRule="auto"/>
        <w:rPr>
          <w:rFonts w:hint="default" w:hAnsi="宋体" w:eastAsia="宋体"/>
          <w:b/>
          <w:color w:val="auto"/>
          <w:highlight w:val="none"/>
          <w:lang w:val="en-US" w:eastAsia="zh-CN"/>
        </w:rPr>
      </w:pPr>
      <w:r>
        <w:rPr>
          <w:rFonts w:hint="eastAsia" w:hAnsi="宋体"/>
          <w:b/>
          <w:color w:val="auto"/>
          <w:highlight w:val="none"/>
        </w:rPr>
        <w:t xml:space="preserve">招标编号： </w:t>
      </w:r>
      <w:r>
        <w:rPr>
          <w:rFonts w:hint="eastAsia" w:hAnsi="宋体"/>
          <w:b/>
          <w:color w:val="auto"/>
          <w:highlight w:val="none"/>
          <w:lang w:val="en-US" w:eastAsia="zh-CN"/>
        </w:rPr>
        <w:t xml:space="preserve">                        </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198"/>
        <w:gridCol w:w="2391"/>
        <w:gridCol w:w="2753"/>
        <w:gridCol w:w="1794"/>
        <w:gridCol w:w="1705"/>
      </w:tblGrid>
      <w:tr w14:paraId="623CD8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tcBorders>
              <w:top w:val="single" w:color="auto" w:sz="4" w:space="0"/>
            </w:tcBorders>
            <w:noWrap/>
            <w:vAlign w:val="center"/>
          </w:tcPr>
          <w:p w14:paraId="6F47A398">
            <w:pPr>
              <w:keepLines w:val="0"/>
              <w:pageBreakBefore w:val="0"/>
              <w:kinsoku/>
              <w:overflowPunct/>
              <w:bidi w:val="0"/>
              <w:spacing w:line="360" w:lineRule="auto"/>
              <w:ind w:firstLine="120" w:firstLineChars="50"/>
              <w:outlineLvl w:val="5"/>
              <w:rPr>
                <w:rFonts w:hAnsi="宋体" w:cs="宋体"/>
                <w:b/>
                <w:color w:val="auto"/>
                <w:highlight w:val="none"/>
              </w:rPr>
            </w:pPr>
            <w:r>
              <w:rPr>
                <w:rFonts w:hint="eastAsia" w:hAnsi="宋体" w:cs="宋体"/>
                <w:b/>
                <w:color w:val="auto"/>
                <w:highlight w:val="none"/>
              </w:rPr>
              <w:t>年份</w:t>
            </w:r>
          </w:p>
        </w:tc>
        <w:tc>
          <w:tcPr>
            <w:tcW w:w="2391" w:type="dxa"/>
            <w:noWrap/>
            <w:vAlign w:val="center"/>
          </w:tcPr>
          <w:p w14:paraId="48F92466">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采购人名称</w:t>
            </w:r>
          </w:p>
        </w:tc>
        <w:tc>
          <w:tcPr>
            <w:tcW w:w="2753" w:type="dxa"/>
            <w:noWrap/>
            <w:vAlign w:val="center"/>
          </w:tcPr>
          <w:p w14:paraId="71639F44">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项目名称</w:t>
            </w:r>
          </w:p>
        </w:tc>
        <w:tc>
          <w:tcPr>
            <w:tcW w:w="1794" w:type="dxa"/>
            <w:noWrap/>
            <w:vAlign w:val="center"/>
          </w:tcPr>
          <w:p w14:paraId="412EFDCF">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合同金额</w:t>
            </w:r>
          </w:p>
        </w:tc>
        <w:tc>
          <w:tcPr>
            <w:tcW w:w="1705" w:type="dxa"/>
            <w:tcBorders>
              <w:left w:val="single" w:color="auto" w:sz="4" w:space="0"/>
            </w:tcBorders>
            <w:noWrap/>
            <w:vAlign w:val="center"/>
          </w:tcPr>
          <w:p w14:paraId="1318BD04">
            <w:pPr>
              <w:keepLines w:val="0"/>
              <w:pageBreakBefore w:val="0"/>
              <w:kinsoku/>
              <w:overflowPunct/>
              <w:bidi w:val="0"/>
              <w:spacing w:line="360" w:lineRule="auto"/>
              <w:outlineLvl w:val="5"/>
              <w:rPr>
                <w:rFonts w:hAnsi="宋体" w:cs="宋体"/>
                <w:b/>
                <w:color w:val="auto"/>
                <w:highlight w:val="none"/>
              </w:rPr>
            </w:pPr>
            <w:r>
              <w:rPr>
                <w:rFonts w:hint="eastAsia" w:hAnsi="宋体" w:cs="宋体"/>
                <w:b/>
                <w:color w:val="auto"/>
                <w:highlight w:val="none"/>
              </w:rPr>
              <w:t xml:space="preserve">   备注</w:t>
            </w:r>
          </w:p>
        </w:tc>
      </w:tr>
      <w:tr w14:paraId="02E200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012B3C00">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10294007">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613BD2B9">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20CF4F95">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7F9BB8A8">
            <w:pPr>
              <w:keepLines w:val="0"/>
              <w:pageBreakBefore w:val="0"/>
              <w:kinsoku/>
              <w:overflowPunct/>
              <w:bidi w:val="0"/>
              <w:spacing w:line="360" w:lineRule="auto"/>
              <w:jc w:val="center"/>
              <w:outlineLvl w:val="5"/>
              <w:rPr>
                <w:rFonts w:hAnsi="宋体" w:cs="宋体"/>
                <w:color w:val="auto"/>
                <w:highlight w:val="none"/>
              </w:rPr>
            </w:pPr>
          </w:p>
        </w:tc>
      </w:tr>
      <w:tr w14:paraId="5B5912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13591337">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7165BA3B">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2A0AB4F2">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01B59D3B">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73D235BC">
            <w:pPr>
              <w:keepLines w:val="0"/>
              <w:pageBreakBefore w:val="0"/>
              <w:kinsoku/>
              <w:overflowPunct/>
              <w:bidi w:val="0"/>
              <w:spacing w:line="360" w:lineRule="auto"/>
              <w:jc w:val="center"/>
              <w:outlineLvl w:val="5"/>
              <w:rPr>
                <w:rFonts w:hAnsi="宋体" w:cs="宋体"/>
                <w:color w:val="auto"/>
                <w:highlight w:val="none"/>
              </w:rPr>
            </w:pPr>
          </w:p>
        </w:tc>
      </w:tr>
      <w:tr w14:paraId="1696A5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052C4720">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39404BF1">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2244BAA9">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304C7AC3">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3F1BBE4E">
            <w:pPr>
              <w:keepLines w:val="0"/>
              <w:pageBreakBefore w:val="0"/>
              <w:kinsoku/>
              <w:overflowPunct/>
              <w:bidi w:val="0"/>
              <w:spacing w:line="360" w:lineRule="auto"/>
              <w:jc w:val="center"/>
              <w:outlineLvl w:val="5"/>
              <w:rPr>
                <w:rFonts w:hAnsi="宋体" w:cs="宋体"/>
                <w:color w:val="auto"/>
                <w:highlight w:val="none"/>
              </w:rPr>
            </w:pPr>
          </w:p>
        </w:tc>
      </w:tr>
      <w:tr w14:paraId="73FFC5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446A4945">
            <w:pPr>
              <w:keepLines w:val="0"/>
              <w:pageBreakBefore w:val="0"/>
              <w:kinsoku/>
              <w:overflowPunct/>
              <w:bidi w:val="0"/>
              <w:spacing w:line="360" w:lineRule="auto"/>
              <w:jc w:val="center"/>
              <w:outlineLvl w:val="5"/>
              <w:rPr>
                <w:rFonts w:hAnsi="宋体" w:cs="宋体"/>
                <w:color w:val="auto"/>
                <w:highlight w:val="none"/>
              </w:rPr>
            </w:pPr>
          </w:p>
        </w:tc>
        <w:tc>
          <w:tcPr>
            <w:tcW w:w="2391" w:type="dxa"/>
            <w:tcBorders>
              <w:right w:val="single" w:color="auto" w:sz="4" w:space="0"/>
            </w:tcBorders>
            <w:noWrap/>
            <w:vAlign w:val="center"/>
          </w:tcPr>
          <w:p w14:paraId="5BCB067C">
            <w:pPr>
              <w:keepLines w:val="0"/>
              <w:pageBreakBefore w:val="0"/>
              <w:kinsoku/>
              <w:overflowPunct/>
              <w:bidi w:val="0"/>
              <w:spacing w:line="360" w:lineRule="auto"/>
              <w:jc w:val="center"/>
              <w:outlineLvl w:val="5"/>
              <w:rPr>
                <w:rFonts w:hAnsi="宋体" w:cs="宋体"/>
                <w:color w:val="auto"/>
                <w:highlight w:val="none"/>
              </w:rPr>
            </w:pPr>
          </w:p>
        </w:tc>
        <w:tc>
          <w:tcPr>
            <w:tcW w:w="2753" w:type="dxa"/>
            <w:tcBorders>
              <w:left w:val="single" w:color="auto" w:sz="4" w:space="0"/>
            </w:tcBorders>
            <w:noWrap/>
            <w:vAlign w:val="center"/>
          </w:tcPr>
          <w:p w14:paraId="715A516D">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670C1F14">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634217FA">
            <w:pPr>
              <w:keepLines w:val="0"/>
              <w:pageBreakBefore w:val="0"/>
              <w:kinsoku/>
              <w:overflowPunct/>
              <w:bidi w:val="0"/>
              <w:spacing w:line="360" w:lineRule="auto"/>
              <w:jc w:val="center"/>
              <w:outlineLvl w:val="5"/>
              <w:rPr>
                <w:rFonts w:hAnsi="宋体" w:cs="宋体"/>
                <w:color w:val="auto"/>
                <w:highlight w:val="none"/>
              </w:rPr>
            </w:pPr>
          </w:p>
        </w:tc>
      </w:tr>
      <w:tr w14:paraId="6BC63F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tcBorders>
              <w:right w:val="single" w:color="auto" w:sz="4" w:space="0"/>
            </w:tcBorders>
            <w:noWrap/>
            <w:vAlign w:val="center"/>
          </w:tcPr>
          <w:p w14:paraId="7875F2B4">
            <w:pPr>
              <w:keepLines w:val="0"/>
              <w:pageBreakBefore w:val="0"/>
              <w:kinsoku/>
              <w:overflowPunct/>
              <w:bidi w:val="0"/>
              <w:spacing w:line="360" w:lineRule="auto"/>
              <w:outlineLvl w:val="5"/>
              <w:rPr>
                <w:rFonts w:hAnsi="宋体" w:cs="宋体"/>
                <w:color w:val="auto"/>
                <w:highlight w:val="none"/>
              </w:rPr>
            </w:pPr>
          </w:p>
        </w:tc>
        <w:tc>
          <w:tcPr>
            <w:tcW w:w="2391" w:type="dxa"/>
            <w:tcBorders>
              <w:left w:val="single" w:color="auto" w:sz="4" w:space="0"/>
              <w:right w:val="single" w:color="auto" w:sz="4" w:space="0"/>
            </w:tcBorders>
            <w:noWrap/>
            <w:vAlign w:val="center"/>
          </w:tcPr>
          <w:p w14:paraId="621971FD">
            <w:pPr>
              <w:keepLines w:val="0"/>
              <w:pageBreakBefore w:val="0"/>
              <w:kinsoku/>
              <w:overflowPunct/>
              <w:bidi w:val="0"/>
              <w:spacing w:line="360" w:lineRule="auto"/>
              <w:outlineLvl w:val="5"/>
              <w:rPr>
                <w:rFonts w:hAnsi="宋体" w:cs="宋体"/>
                <w:color w:val="auto"/>
                <w:highlight w:val="none"/>
              </w:rPr>
            </w:pPr>
          </w:p>
        </w:tc>
        <w:tc>
          <w:tcPr>
            <w:tcW w:w="2753" w:type="dxa"/>
            <w:tcBorders>
              <w:left w:val="single" w:color="auto" w:sz="4" w:space="0"/>
              <w:right w:val="single" w:color="auto" w:sz="4" w:space="0"/>
            </w:tcBorders>
            <w:noWrap/>
            <w:vAlign w:val="center"/>
          </w:tcPr>
          <w:p w14:paraId="18B4221D">
            <w:pPr>
              <w:keepLines w:val="0"/>
              <w:pageBreakBefore w:val="0"/>
              <w:kinsoku/>
              <w:overflowPunct/>
              <w:bidi w:val="0"/>
              <w:spacing w:line="360" w:lineRule="auto"/>
              <w:outlineLvl w:val="5"/>
              <w:rPr>
                <w:rFonts w:hAnsi="宋体" w:cs="宋体"/>
                <w:color w:val="auto"/>
                <w:highlight w:val="none"/>
              </w:rPr>
            </w:pPr>
          </w:p>
        </w:tc>
        <w:tc>
          <w:tcPr>
            <w:tcW w:w="1794" w:type="dxa"/>
            <w:tcBorders>
              <w:left w:val="single" w:color="auto" w:sz="4" w:space="0"/>
              <w:right w:val="single" w:color="auto" w:sz="4" w:space="0"/>
            </w:tcBorders>
            <w:noWrap/>
            <w:vAlign w:val="center"/>
          </w:tcPr>
          <w:p w14:paraId="4817E973">
            <w:pPr>
              <w:keepLines w:val="0"/>
              <w:pageBreakBefore w:val="0"/>
              <w:kinsoku/>
              <w:overflowPunct/>
              <w:bidi w:val="0"/>
              <w:spacing w:line="360" w:lineRule="auto"/>
              <w:outlineLvl w:val="5"/>
              <w:rPr>
                <w:rFonts w:hAnsi="宋体" w:cs="宋体"/>
                <w:color w:val="auto"/>
                <w:highlight w:val="none"/>
              </w:rPr>
            </w:pPr>
          </w:p>
        </w:tc>
        <w:tc>
          <w:tcPr>
            <w:tcW w:w="1705" w:type="dxa"/>
            <w:tcBorders>
              <w:left w:val="single" w:color="auto" w:sz="4" w:space="0"/>
            </w:tcBorders>
            <w:noWrap/>
            <w:vAlign w:val="center"/>
          </w:tcPr>
          <w:p w14:paraId="366FD28A">
            <w:pPr>
              <w:keepLines w:val="0"/>
              <w:pageBreakBefore w:val="0"/>
              <w:kinsoku/>
              <w:overflowPunct/>
              <w:bidi w:val="0"/>
              <w:spacing w:line="360" w:lineRule="auto"/>
              <w:outlineLvl w:val="5"/>
              <w:rPr>
                <w:rFonts w:hAnsi="宋体" w:cs="宋体"/>
                <w:color w:val="auto"/>
                <w:highlight w:val="none"/>
              </w:rPr>
            </w:pPr>
          </w:p>
        </w:tc>
      </w:tr>
      <w:tr w14:paraId="099AC9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1D7597A7">
            <w:pPr>
              <w:keepLines w:val="0"/>
              <w:pageBreakBefore w:val="0"/>
              <w:kinsoku/>
              <w:overflowPunct/>
              <w:bidi w:val="0"/>
              <w:spacing w:line="360" w:lineRule="auto"/>
              <w:outlineLvl w:val="5"/>
              <w:rPr>
                <w:rFonts w:hAnsi="宋体" w:cs="宋体"/>
                <w:color w:val="auto"/>
                <w:highlight w:val="none"/>
              </w:rPr>
            </w:pPr>
          </w:p>
        </w:tc>
        <w:tc>
          <w:tcPr>
            <w:tcW w:w="2391" w:type="dxa"/>
            <w:noWrap/>
            <w:vAlign w:val="center"/>
          </w:tcPr>
          <w:p w14:paraId="554B5464">
            <w:pPr>
              <w:keepLines w:val="0"/>
              <w:pageBreakBefore w:val="0"/>
              <w:kinsoku/>
              <w:overflowPunct/>
              <w:bidi w:val="0"/>
              <w:spacing w:line="360" w:lineRule="auto"/>
              <w:outlineLvl w:val="5"/>
              <w:rPr>
                <w:rFonts w:hAnsi="宋体" w:cs="宋体"/>
                <w:color w:val="auto"/>
                <w:highlight w:val="none"/>
              </w:rPr>
            </w:pPr>
          </w:p>
        </w:tc>
        <w:tc>
          <w:tcPr>
            <w:tcW w:w="2753" w:type="dxa"/>
            <w:noWrap/>
            <w:vAlign w:val="center"/>
          </w:tcPr>
          <w:p w14:paraId="7A387811">
            <w:pPr>
              <w:keepLines w:val="0"/>
              <w:pageBreakBefore w:val="0"/>
              <w:kinsoku/>
              <w:overflowPunct/>
              <w:bidi w:val="0"/>
              <w:spacing w:line="360" w:lineRule="auto"/>
              <w:outlineLvl w:val="5"/>
              <w:rPr>
                <w:rFonts w:hAnsi="宋体" w:cs="宋体"/>
                <w:color w:val="auto"/>
                <w:highlight w:val="none"/>
              </w:rPr>
            </w:pPr>
          </w:p>
        </w:tc>
        <w:tc>
          <w:tcPr>
            <w:tcW w:w="1794" w:type="dxa"/>
            <w:noWrap/>
            <w:vAlign w:val="center"/>
          </w:tcPr>
          <w:p w14:paraId="3A0605BD">
            <w:pPr>
              <w:keepLines w:val="0"/>
              <w:pageBreakBefore w:val="0"/>
              <w:kinsoku/>
              <w:overflowPunct/>
              <w:bidi w:val="0"/>
              <w:spacing w:line="360" w:lineRule="auto"/>
              <w:outlineLvl w:val="5"/>
              <w:rPr>
                <w:rFonts w:hAnsi="宋体" w:cs="宋体"/>
                <w:color w:val="auto"/>
                <w:highlight w:val="none"/>
              </w:rPr>
            </w:pPr>
          </w:p>
        </w:tc>
        <w:tc>
          <w:tcPr>
            <w:tcW w:w="1705" w:type="dxa"/>
            <w:tcBorders>
              <w:left w:val="single" w:color="auto" w:sz="4" w:space="0"/>
            </w:tcBorders>
            <w:noWrap/>
            <w:vAlign w:val="center"/>
          </w:tcPr>
          <w:p w14:paraId="397E353E">
            <w:pPr>
              <w:keepLines w:val="0"/>
              <w:pageBreakBefore w:val="0"/>
              <w:kinsoku/>
              <w:overflowPunct/>
              <w:bidi w:val="0"/>
              <w:spacing w:line="360" w:lineRule="auto"/>
              <w:outlineLvl w:val="5"/>
              <w:rPr>
                <w:rFonts w:hAnsi="宋体" w:cs="宋体"/>
                <w:color w:val="auto"/>
                <w:highlight w:val="none"/>
              </w:rPr>
            </w:pPr>
          </w:p>
        </w:tc>
      </w:tr>
      <w:tr w14:paraId="0866BC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46A5D702">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022EFF29">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0A38031E">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41F84A4C">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18215BE1">
            <w:pPr>
              <w:keepLines w:val="0"/>
              <w:pageBreakBefore w:val="0"/>
              <w:kinsoku/>
              <w:overflowPunct/>
              <w:bidi w:val="0"/>
              <w:spacing w:line="360" w:lineRule="auto"/>
              <w:jc w:val="center"/>
              <w:outlineLvl w:val="5"/>
              <w:rPr>
                <w:rFonts w:hAnsi="宋体" w:cs="宋体"/>
                <w:color w:val="auto"/>
                <w:highlight w:val="none"/>
              </w:rPr>
            </w:pPr>
          </w:p>
        </w:tc>
      </w:tr>
      <w:tr w14:paraId="70796E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3F115F85">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75E5E3B0">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7DE1C4B7">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01158E2F">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2D200B8C">
            <w:pPr>
              <w:keepLines w:val="0"/>
              <w:pageBreakBefore w:val="0"/>
              <w:kinsoku/>
              <w:overflowPunct/>
              <w:bidi w:val="0"/>
              <w:spacing w:line="360" w:lineRule="auto"/>
              <w:jc w:val="center"/>
              <w:outlineLvl w:val="5"/>
              <w:rPr>
                <w:rFonts w:hAnsi="宋体" w:cs="宋体"/>
                <w:color w:val="auto"/>
                <w:highlight w:val="none"/>
              </w:rPr>
            </w:pPr>
          </w:p>
        </w:tc>
      </w:tr>
      <w:tr w14:paraId="313E4E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1198" w:type="dxa"/>
            <w:tcBorders>
              <w:bottom w:val="single" w:color="auto" w:sz="4" w:space="0"/>
            </w:tcBorders>
            <w:noWrap/>
            <w:vAlign w:val="center"/>
          </w:tcPr>
          <w:p w14:paraId="6F4D30BF">
            <w:pPr>
              <w:keepLines w:val="0"/>
              <w:pageBreakBefore w:val="0"/>
              <w:kinsoku/>
              <w:overflowPunct/>
              <w:bidi w:val="0"/>
              <w:spacing w:line="360" w:lineRule="auto"/>
              <w:jc w:val="center"/>
              <w:outlineLvl w:val="5"/>
              <w:rPr>
                <w:rFonts w:hAnsi="宋体" w:cs="宋体"/>
                <w:color w:val="auto"/>
                <w:highlight w:val="none"/>
              </w:rPr>
            </w:pPr>
          </w:p>
        </w:tc>
        <w:tc>
          <w:tcPr>
            <w:tcW w:w="2391" w:type="dxa"/>
            <w:tcBorders>
              <w:bottom w:val="single" w:color="auto" w:sz="4" w:space="0"/>
            </w:tcBorders>
            <w:noWrap/>
            <w:vAlign w:val="center"/>
          </w:tcPr>
          <w:p w14:paraId="1F3FA672">
            <w:pPr>
              <w:keepLines w:val="0"/>
              <w:pageBreakBefore w:val="0"/>
              <w:kinsoku/>
              <w:overflowPunct/>
              <w:bidi w:val="0"/>
              <w:spacing w:line="360" w:lineRule="auto"/>
              <w:jc w:val="center"/>
              <w:outlineLvl w:val="5"/>
              <w:rPr>
                <w:rFonts w:hAnsi="宋体" w:cs="宋体"/>
                <w:color w:val="auto"/>
                <w:highlight w:val="none"/>
              </w:rPr>
            </w:pPr>
          </w:p>
        </w:tc>
        <w:tc>
          <w:tcPr>
            <w:tcW w:w="2753" w:type="dxa"/>
            <w:tcBorders>
              <w:bottom w:val="single" w:color="auto" w:sz="4" w:space="0"/>
            </w:tcBorders>
            <w:noWrap/>
            <w:vAlign w:val="center"/>
          </w:tcPr>
          <w:p w14:paraId="4973661E">
            <w:pPr>
              <w:keepLines w:val="0"/>
              <w:pageBreakBefore w:val="0"/>
              <w:kinsoku/>
              <w:overflowPunct/>
              <w:bidi w:val="0"/>
              <w:spacing w:line="360" w:lineRule="auto"/>
              <w:jc w:val="center"/>
              <w:outlineLvl w:val="5"/>
              <w:rPr>
                <w:rFonts w:hAnsi="宋体" w:cs="宋体"/>
                <w:color w:val="auto"/>
                <w:highlight w:val="none"/>
              </w:rPr>
            </w:pPr>
          </w:p>
        </w:tc>
        <w:tc>
          <w:tcPr>
            <w:tcW w:w="1794" w:type="dxa"/>
            <w:tcBorders>
              <w:bottom w:val="single" w:color="auto" w:sz="4" w:space="0"/>
            </w:tcBorders>
            <w:noWrap/>
            <w:vAlign w:val="center"/>
          </w:tcPr>
          <w:p w14:paraId="0E144FC1">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bottom w:val="single" w:color="auto" w:sz="4" w:space="0"/>
            </w:tcBorders>
            <w:noWrap/>
            <w:vAlign w:val="center"/>
          </w:tcPr>
          <w:p w14:paraId="1BF257C1">
            <w:pPr>
              <w:keepLines w:val="0"/>
              <w:pageBreakBefore w:val="0"/>
              <w:kinsoku/>
              <w:overflowPunct/>
              <w:bidi w:val="0"/>
              <w:spacing w:line="360" w:lineRule="auto"/>
              <w:jc w:val="center"/>
              <w:outlineLvl w:val="5"/>
              <w:rPr>
                <w:rFonts w:hAnsi="宋体" w:cs="宋体"/>
                <w:color w:val="auto"/>
                <w:highlight w:val="none"/>
              </w:rPr>
            </w:pPr>
          </w:p>
        </w:tc>
      </w:tr>
      <w:tr w14:paraId="69A399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6583F0E4">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1CC39B66">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72C5C040">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1F87BEBF">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7C550883">
            <w:pPr>
              <w:keepLines w:val="0"/>
              <w:pageBreakBefore w:val="0"/>
              <w:kinsoku/>
              <w:overflowPunct/>
              <w:bidi w:val="0"/>
              <w:spacing w:line="360" w:lineRule="auto"/>
              <w:jc w:val="center"/>
              <w:outlineLvl w:val="5"/>
              <w:rPr>
                <w:rFonts w:hAnsi="宋体" w:cs="宋体"/>
                <w:color w:val="auto"/>
                <w:highlight w:val="none"/>
              </w:rPr>
            </w:pPr>
          </w:p>
        </w:tc>
      </w:tr>
      <w:tr w14:paraId="293B0B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3300391D">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366C0D81">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2CE04A93">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7DA097BD">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5F90A9B2">
            <w:pPr>
              <w:keepLines w:val="0"/>
              <w:pageBreakBefore w:val="0"/>
              <w:kinsoku/>
              <w:overflowPunct/>
              <w:bidi w:val="0"/>
              <w:spacing w:line="360" w:lineRule="auto"/>
              <w:jc w:val="center"/>
              <w:outlineLvl w:val="5"/>
              <w:rPr>
                <w:rFonts w:hAnsi="宋体" w:cs="宋体"/>
                <w:color w:val="auto"/>
                <w:highlight w:val="none"/>
              </w:rPr>
            </w:pPr>
          </w:p>
        </w:tc>
      </w:tr>
      <w:tr w14:paraId="1D103A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3CC5B5E3">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629498C5">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62E457E6">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53402615">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5F2874F6">
            <w:pPr>
              <w:keepLines w:val="0"/>
              <w:pageBreakBefore w:val="0"/>
              <w:kinsoku/>
              <w:overflowPunct/>
              <w:bidi w:val="0"/>
              <w:spacing w:line="360" w:lineRule="auto"/>
              <w:jc w:val="center"/>
              <w:outlineLvl w:val="5"/>
              <w:rPr>
                <w:rFonts w:hAnsi="宋体" w:cs="宋体"/>
                <w:color w:val="auto"/>
                <w:highlight w:val="none"/>
              </w:rPr>
            </w:pPr>
          </w:p>
        </w:tc>
      </w:tr>
      <w:tr w14:paraId="4DC8D7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6F3E9B5F">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19D479E9">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280ED048">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23000F65">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1F0A00DE">
            <w:pPr>
              <w:keepLines w:val="0"/>
              <w:pageBreakBefore w:val="0"/>
              <w:kinsoku/>
              <w:overflowPunct/>
              <w:bidi w:val="0"/>
              <w:spacing w:line="360" w:lineRule="auto"/>
              <w:jc w:val="center"/>
              <w:outlineLvl w:val="5"/>
              <w:rPr>
                <w:rFonts w:hAnsi="宋体" w:cs="宋体"/>
                <w:color w:val="auto"/>
                <w:highlight w:val="none"/>
              </w:rPr>
            </w:pPr>
          </w:p>
        </w:tc>
      </w:tr>
    </w:tbl>
    <w:p w14:paraId="23DD79C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p>
    <w:p w14:paraId="36239B7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r>
        <w:rPr>
          <w:rFonts w:hint="eastAsia" w:ascii="宋体" w:hAnsi="宋体" w:cs="宋体"/>
          <w:color w:val="auto"/>
          <w:highlight w:val="none"/>
        </w:rPr>
        <w:t>注：以上业绩需提供有关书面证明材料，否则将不予认定。</w:t>
      </w:r>
    </w:p>
    <w:p w14:paraId="51FA73E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2848A472">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4BD49FEF">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投标人名称（盖单位公章）：</w:t>
      </w:r>
    </w:p>
    <w:p w14:paraId="4F58AB18">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法定代表人或授权代表（签字）：</w:t>
      </w:r>
    </w:p>
    <w:p w14:paraId="7AFCA98C">
      <w:pPr>
        <w:keepLines w:val="0"/>
        <w:pageBreakBefore w:val="0"/>
        <w:kinsoku/>
        <w:overflowPunct/>
        <w:bidi w:val="0"/>
        <w:adjustRightInd w:val="0"/>
        <w:spacing w:line="360" w:lineRule="auto"/>
        <w:rPr>
          <w:rFonts w:hint="eastAsia" w:hAnsi="宋体"/>
          <w:color w:val="auto"/>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olor w:val="auto"/>
          <w:highlight w:val="none"/>
        </w:rPr>
        <w:t>日期</w:t>
      </w:r>
      <w:bookmarkStart w:id="146" w:name="_Toc217446090"/>
      <w:r>
        <w:rPr>
          <w:rFonts w:hint="eastAsia" w:hAnsi="宋体"/>
          <w:color w:val="auto"/>
          <w:highlight w:val="none"/>
          <w:lang w:eastAsia="zh-CN"/>
        </w:rPr>
        <w:t>：</w:t>
      </w:r>
    </w:p>
    <w:bookmarkEnd w:id="146"/>
    <w:p w14:paraId="251A69F3">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bookmarkStart w:id="147" w:name="_Toc217446091"/>
      <w:bookmarkStart w:id="148" w:name="_Toc217446092"/>
      <w:r>
        <w:rPr>
          <w:rFonts w:hint="eastAsia"/>
          <w:color w:val="auto"/>
          <w:sz w:val="32"/>
          <w:szCs w:val="32"/>
          <w:highlight w:val="none"/>
          <w:lang w:val="en-US" w:eastAsia="zh-CN"/>
        </w:rPr>
        <w:t>十一、投标人本项目管理、技术、服务人员情况表</w:t>
      </w:r>
      <w:bookmarkEnd w:id="147"/>
    </w:p>
    <w:p w14:paraId="1401E47D">
      <w:pPr>
        <w:keepLines w:val="0"/>
        <w:pageBreakBefore w:val="0"/>
        <w:kinsoku/>
        <w:overflowPunct/>
        <w:bidi w:val="0"/>
        <w:spacing w:line="360" w:lineRule="auto"/>
        <w:rPr>
          <w:rFonts w:hint="eastAsia" w:hAnsi="宋体"/>
          <w:b/>
          <w:color w:val="auto"/>
          <w:highlight w:val="none"/>
        </w:rPr>
      </w:pPr>
      <w:r>
        <w:rPr>
          <w:rFonts w:hint="eastAsia" w:hAnsi="宋体"/>
          <w:b/>
          <w:color w:val="auto"/>
          <w:highlight w:val="none"/>
        </w:rPr>
        <w:t xml:space="preserve">项目名称：   </w:t>
      </w:r>
    </w:p>
    <w:p w14:paraId="33E4380C">
      <w:pPr>
        <w:keepLines w:val="0"/>
        <w:pageBreakBefore w:val="0"/>
        <w:kinsoku/>
        <w:overflowPunct/>
        <w:bidi w:val="0"/>
        <w:spacing w:line="360" w:lineRule="auto"/>
        <w:rPr>
          <w:rFonts w:hint="default" w:hAnsi="宋体" w:eastAsia="宋体"/>
          <w:b/>
          <w:color w:val="auto"/>
          <w:highlight w:val="none"/>
          <w:u w:val="single"/>
          <w:lang w:val="en-US" w:eastAsia="zh-CN"/>
        </w:rPr>
      </w:pPr>
      <w:r>
        <w:rPr>
          <w:rFonts w:hint="eastAsia" w:hAnsi="宋体"/>
          <w:b/>
          <w:color w:val="auto"/>
          <w:highlight w:val="none"/>
        </w:rPr>
        <w:t xml:space="preserve">招标编号： </w:t>
      </w:r>
      <w:r>
        <w:rPr>
          <w:rFonts w:hint="eastAsia" w:hAnsi="宋体"/>
          <w:b/>
          <w:color w:val="auto"/>
          <w:highlight w:val="none"/>
          <w:lang w:val="en-US" w:eastAsia="zh-CN"/>
        </w:rPr>
        <w:t xml:space="preserve">                          </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045"/>
        <w:gridCol w:w="1045"/>
        <w:gridCol w:w="1045"/>
        <w:gridCol w:w="1045"/>
        <w:gridCol w:w="1371"/>
        <w:gridCol w:w="955"/>
        <w:gridCol w:w="1092"/>
        <w:gridCol w:w="951"/>
      </w:tblGrid>
      <w:tr w14:paraId="5AF6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restart"/>
            <w:noWrap/>
            <w:vAlign w:val="center"/>
          </w:tcPr>
          <w:p w14:paraId="4D34F36F">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类别</w:t>
            </w:r>
          </w:p>
        </w:tc>
        <w:tc>
          <w:tcPr>
            <w:tcW w:w="1045" w:type="dxa"/>
            <w:vMerge w:val="restart"/>
            <w:noWrap/>
            <w:vAlign w:val="center"/>
          </w:tcPr>
          <w:p w14:paraId="56BDFC3C">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职务</w:t>
            </w:r>
          </w:p>
        </w:tc>
        <w:tc>
          <w:tcPr>
            <w:tcW w:w="1045" w:type="dxa"/>
            <w:vMerge w:val="restart"/>
            <w:noWrap/>
            <w:vAlign w:val="center"/>
          </w:tcPr>
          <w:p w14:paraId="00E400FF">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姓名</w:t>
            </w:r>
          </w:p>
        </w:tc>
        <w:tc>
          <w:tcPr>
            <w:tcW w:w="1045" w:type="dxa"/>
            <w:vMerge w:val="restart"/>
            <w:noWrap/>
            <w:vAlign w:val="center"/>
          </w:tcPr>
          <w:p w14:paraId="1A88E0BB">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职称</w:t>
            </w:r>
          </w:p>
        </w:tc>
        <w:tc>
          <w:tcPr>
            <w:tcW w:w="1045" w:type="dxa"/>
            <w:vMerge w:val="restart"/>
            <w:noWrap/>
            <w:vAlign w:val="center"/>
          </w:tcPr>
          <w:p w14:paraId="5AC17D87">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常住地</w:t>
            </w:r>
          </w:p>
        </w:tc>
        <w:tc>
          <w:tcPr>
            <w:tcW w:w="4369" w:type="dxa"/>
            <w:gridSpan w:val="4"/>
            <w:noWrap/>
            <w:vAlign w:val="center"/>
          </w:tcPr>
          <w:p w14:paraId="1E9A2021">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资格证明（附复印件）</w:t>
            </w:r>
          </w:p>
        </w:tc>
      </w:tr>
      <w:tr w14:paraId="2F1F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6DA9983F">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671B8A8F">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6F8A5E8E">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67C2891B">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56B61C29">
            <w:pPr>
              <w:keepLines w:val="0"/>
              <w:pageBreakBefore w:val="0"/>
              <w:kinsoku/>
              <w:overflowPunct/>
              <w:bidi w:val="0"/>
              <w:spacing w:line="360" w:lineRule="auto"/>
              <w:jc w:val="center"/>
              <w:outlineLvl w:val="5"/>
              <w:rPr>
                <w:rFonts w:hAnsi="宋体" w:cs="宋体"/>
                <w:color w:val="auto"/>
                <w:highlight w:val="none"/>
              </w:rPr>
            </w:pPr>
          </w:p>
        </w:tc>
        <w:tc>
          <w:tcPr>
            <w:tcW w:w="1371" w:type="dxa"/>
            <w:noWrap/>
            <w:vAlign w:val="center"/>
          </w:tcPr>
          <w:p w14:paraId="6D594AC8">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证书名称</w:t>
            </w:r>
          </w:p>
        </w:tc>
        <w:tc>
          <w:tcPr>
            <w:tcW w:w="955" w:type="dxa"/>
            <w:noWrap/>
            <w:vAlign w:val="center"/>
          </w:tcPr>
          <w:p w14:paraId="71D5C02F">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级别</w:t>
            </w:r>
          </w:p>
        </w:tc>
        <w:tc>
          <w:tcPr>
            <w:tcW w:w="1092" w:type="dxa"/>
            <w:noWrap/>
            <w:vAlign w:val="center"/>
          </w:tcPr>
          <w:p w14:paraId="2BAF6443">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证号</w:t>
            </w:r>
          </w:p>
        </w:tc>
        <w:tc>
          <w:tcPr>
            <w:tcW w:w="951" w:type="dxa"/>
            <w:noWrap/>
            <w:vAlign w:val="center"/>
          </w:tcPr>
          <w:p w14:paraId="7E29DA05">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专业</w:t>
            </w:r>
          </w:p>
        </w:tc>
      </w:tr>
      <w:tr w14:paraId="5DFB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restart"/>
            <w:noWrap/>
            <w:vAlign w:val="center"/>
          </w:tcPr>
          <w:p w14:paraId="2183DB61">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管</w:t>
            </w:r>
          </w:p>
          <w:p w14:paraId="2F4ECCA2">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理</w:t>
            </w:r>
          </w:p>
          <w:p w14:paraId="44BB4C87">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人</w:t>
            </w:r>
          </w:p>
          <w:p w14:paraId="3CA402D7">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员</w:t>
            </w:r>
          </w:p>
        </w:tc>
        <w:tc>
          <w:tcPr>
            <w:tcW w:w="1045" w:type="dxa"/>
            <w:noWrap/>
          </w:tcPr>
          <w:p w14:paraId="6558E53E">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300725A3">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046A5059">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68041DA7">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6A6D2D2F">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0716926D">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3078CE38">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2A497186">
            <w:pPr>
              <w:keepLines w:val="0"/>
              <w:pageBreakBefore w:val="0"/>
              <w:kinsoku/>
              <w:overflowPunct/>
              <w:bidi w:val="0"/>
              <w:spacing w:line="360" w:lineRule="auto"/>
              <w:jc w:val="center"/>
              <w:outlineLvl w:val="5"/>
              <w:rPr>
                <w:rFonts w:hAnsi="宋体" w:cs="宋体"/>
                <w:color w:val="auto"/>
                <w:highlight w:val="none"/>
              </w:rPr>
            </w:pPr>
          </w:p>
        </w:tc>
      </w:tr>
      <w:tr w14:paraId="607E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5D38AE00">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63D5DAD">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012A3EF6">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0AF245EF">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E90E0F9">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2A45C7B5">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49B446B3">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0A271A3C">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5996A440">
            <w:pPr>
              <w:keepLines w:val="0"/>
              <w:pageBreakBefore w:val="0"/>
              <w:kinsoku/>
              <w:overflowPunct/>
              <w:bidi w:val="0"/>
              <w:spacing w:line="360" w:lineRule="auto"/>
              <w:jc w:val="center"/>
              <w:outlineLvl w:val="5"/>
              <w:rPr>
                <w:rFonts w:hAnsi="宋体" w:cs="宋体"/>
                <w:color w:val="auto"/>
                <w:highlight w:val="none"/>
              </w:rPr>
            </w:pPr>
          </w:p>
        </w:tc>
      </w:tr>
      <w:tr w14:paraId="24E0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continue"/>
            <w:noWrap/>
            <w:vAlign w:val="center"/>
          </w:tcPr>
          <w:p w14:paraId="4BDCE146">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96AE218">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05D5A1A4">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44856C58">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DC29B82">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27BEE2DC">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23724F22">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2F70C160">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695B30C2">
            <w:pPr>
              <w:keepLines w:val="0"/>
              <w:pageBreakBefore w:val="0"/>
              <w:kinsoku/>
              <w:overflowPunct/>
              <w:bidi w:val="0"/>
              <w:spacing w:line="360" w:lineRule="auto"/>
              <w:jc w:val="center"/>
              <w:outlineLvl w:val="5"/>
              <w:rPr>
                <w:rFonts w:hAnsi="宋体" w:cs="宋体"/>
                <w:color w:val="auto"/>
                <w:highlight w:val="none"/>
              </w:rPr>
            </w:pPr>
          </w:p>
        </w:tc>
      </w:tr>
      <w:tr w14:paraId="07F4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restart"/>
            <w:noWrap/>
            <w:vAlign w:val="center"/>
          </w:tcPr>
          <w:p w14:paraId="0E4135A8">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技</w:t>
            </w:r>
          </w:p>
          <w:p w14:paraId="04C4A549">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术</w:t>
            </w:r>
          </w:p>
          <w:p w14:paraId="57A52D3F">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人</w:t>
            </w:r>
          </w:p>
          <w:p w14:paraId="235F2743">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员</w:t>
            </w:r>
          </w:p>
        </w:tc>
        <w:tc>
          <w:tcPr>
            <w:tcW w:w="1045" w:type="dxa"/>
            <w:noWrap/>
          </w:tcPr>
          <w:p w14:paraId="0A2C8F42">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4FA50E8">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9DD24C9">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322B6873">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013DE8B8">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3EA01514">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5FE55FF4">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3DA1084E">
            <w:pPr>
              <w:keepLines w:val="0"/>
              <w:pageBreakBefore w:val="0"/>
              <w:kinsoku/>
              <w:overflowPunct/>
              <w:bidi w:val="0"/>
              <w:spacing w:line="360" w:lineRule="auto"/>
              <w:jc w:val="center"/>
              <w:outlineLvl w:val="5"/>
              <w:rPr>
                <w:rFonts w:hAnsi="宋体" w:cs="宋体"/>
                <w:color w:val="auto"/>
                <w:highlight w:val="none"/>
              </w:rPr>
            </w:pPr>
          </w:p>
        </w:tc>
      </w:tr>
      <w:tr w14:paraId="4782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continue"/>
            <w:noWrap/>
            <w:vAlign w:val="center"/>
          </w:tcPr>
          <w:p w14:paraId="0FFC64F9">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3B239E6B">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42B1532">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49342B63">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ABABB86">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5D9488E8">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60D8D335">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426BAD38">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2849515D">
            <w:pPr>
              <w:keepLines w:val="0"/>
              <w:pageBreakBefore w:val="0"/>
              <w:kinsoku/>
              <w:overflowPunct/>
              <w:bidi w:val="0"/>
              <w:spacing w:line="360" w:lineRule="auto"/>
              <w:jc w:val="center"/>
              <w:outlineLvl w:val="5"/>
              <w:rPr>
                <w:rFonts w:hAnsi="宋体" w:cs="宋体"/>
                <w:color w:val="auto"/>
                <w:highlight w:val="none"/>
              </w:rPr>
            </w:pPr>
          </w:p>
        </w:tc>
      </w:tr>
      <w:tr w14:paraId="7797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73D40B82">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A8D7F57">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52B5B5A">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BE6A86C">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9C5061F">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7BAC31D8">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1858656E">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3A70BB84">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05E40A4E">
            <w:pPr>
              <w:keepLines w:val="0"/>
              <w:pageBreakBefore w:val="0"/>
              <w:kinsoku/>
              <w:overflowPunct/>
              <w:bidi w:val="0"/>
              <w:spacing w:line="360" w:lineRule="auto"/>
              <w:jc w:val="center"/>
              <w:outlineLvl w:val="5"/>
              <w:rPr>
                <w:rFonts w:hAnsi="宋体" w:cs="宋体"/>
                <w:color w:val="auto"/>
                <w:highlight w:val="none"/>
              </w:rPr>
            </w:pPr>
          </w:p>
        </w:tc>
      </w:tr>
      <w:tr w14:paraId="7EE3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restart"/>
            <w:noWrap/>
            <w:vAlign w:val="center"/>
          </w:tcPr>
          <w:p w14:paraId="4AE99F6B">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售后</w:t>
            </w:r>
          </w:p>
          <w:p w14:paraId="1406F3AB">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服务</w:t>
            </w:r>
          </w:p>
          <w:p w14:paraId="551ED2D5">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人员</w:t>
            </w:r>
          </w:p>
        </w:tc>
        <w:tc>
          <w:tcPr>
            <w:tcW w:w="1045" w:type="dxa"/>
            <w:noWrap/>
          </w:tcPr>
          <w:p w14:paraId="27F6CE30">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E40B09C">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CF58D57">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421012A6">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113858C8">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0E1C845F">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621DF493">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421CF722">
            <w:pPr>
              <w:keepLines w:val="0"/>
              <w:pageBreakBefore w:val="0"/>
              <w:kinsoku/>
              <w:overflowPunct/>
              <w:bidi w:val="0"/>
              <w:spacing w:line="360" w:lineRule="auto"/>
              <w:jc w:val="center"/>
              <w:outlineLvl w:val="5"/>
              <w:rPr>
                <w:rFonts w:hAnsi="宋体" w:cs="宋体"/>
                <w:color w:val="auto"/>
                <w:highlight w:val="none"/>
              </w:rPr>
            </w:pPr>
          </w:p>
        </w:tc>
      </w:tr>
      <w:tr w14:paraId="4E53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15F10B08">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3CE2063">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61FC5BC0">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6114C633">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313463FA">
            <w:pPr>
              <w:keepLines w:val="0"/>
              <w:pageBreakBefore w:val="0"/>
              <w:kinsoku/>
              <w:overflowPunct/>
              <w:bidi w:val="0"/>
              <w:spacing w:line="360" w:lineRule="auto"/>
              <w:jc w:val="center"/>
              <w:outlineLvl w:val="5"/>
              <w:rPr>
                <w:rFonts w:hAnsi="宋体" w:cs="宋体"/>
                <w:bCs/>
                <w:color w:val="auto"/>
                <w:highlight w:val="none"/>
              </w:rPr>
            </w:pPr>
          </w:p>
        </w:tc>
        <w:tc>
          <w:tcPr>
            <w:tcW w:w="1371" w:type="dxa"/>
            <w:noWrap/>
          </w:tcPr>
          <w:p w14:paraId="0BEEA9A8">
            <w:pPr>
              <w:keepLines w:val="0"/>
              <w:pageBreakBefore w:val="0"/>
              <w:kinsoku/>
              <w:overflowPunct/>
              <w:bidi w:val="0"/>
              <w:spacing w:line="360" w:lineRule="auto"/>
              <w:jc w:val="center"/>
              <w:outlineLvl w:val="5"/>
              <w:rPr>
                <w:rFonts w:hAnsi="宋体" w:cs="宋体"/>
                <w:bCs/>
                <w:color w:val="auto"/>
                <w:highlight w:val="none"/>
              </w:rPr>
            </w:pPr>
          </w:p>
        </w:tc>
        <w:tc>
          <w:tcPr>
            <w:tcW w:w="955" w:type="dxa"/>
            <w:noWrap/>
          </w:tcPr>
          <w:p w14:paraId="2DA44040">
            <w:pPr>
              <w:keepLines w:val="0"/>
              <w:pageBreakBefore w:val="0"/>
              <w:kinsoku/>
              <w:overflowPunct/>
              <w:bidi w:val="0"/>
              <w:spacing w:line="360" w:lineRule="auto"/>
              <w:jc w:val="center"/>
              <w:outlineLvl w:val="5"/>
              <w:rPr>
                <w:rFonts w:hAnsi="宋体" w:cs="宋体"/>
                <w:bCs/>
                <w:color w:val="auto"/>
                <w:highlight w:val="none"/>
              </w:rPr>
            </w:pPr>
          </w:p>
        </w:tc>
        <w:tc>
          <w:tcPr>
            <w:tcW w:w="1092" w:type="dxa"/>
            <w:noWrap/>
          </w:tcPr>
          <w:p w14:paraId="633ABB17">
            <w:pPr>
              <w:keepLines w:val="0"/>
              <w:pageBreakBefore w:val="0"/>
              <w:kinsoku/>
              <w:overflowPunct/>
              <w:bidi w:val="0"/>
              <w:spacing w:line="360" w:lineRule="auto"/>
              <w:jc w:val="center"/>
              <w:outlineLvl w:val="5"/>
              <w:rPr>
                <w:rFonts w:hAnsi="宋体" w:cs="宋体"/>
                <w:bCs/>
                <w:color w:val="auto"/>
                <w:highlight w:val="none"/>
              </w:rPr>
            </w:pPr>
          </w:p>
        </w:tc>
        <w:tc>
          <w:tcPr>
            <w:tcW w:w="951" w:type="dxa"/>
            <w:noWrap/>
          </w:tcPr>
          <w:p w14:paraId="5A352407">
            <w:pPr>
              <w:keepLines w:val="0"/>
              <w:pageBreakBefore w:val="0"/>
              <w:kinsoku/>
              <w:overflowPunct/>
              <w:bidi w:val="0"/>
              <w:spacing w:line="360" w:lineRule="auto"/>
              <w:jc w:val="center"/>
              <w:outlineLvl w:val="5"/>
              <w:rPr>
                <w:rFonts w:hAnsi="宋体" w:cs="宋体"/>
                <w:bCs/>
                <w:color w:val="auto"/>
                <w:highlight w:val="none"/>
              </w:rPr>
            </w:pPr>
          </w:p>
        </w:tc>
      </w:tr>
      <w:tr w14:paraId="7109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continue"/>
            <w:noWrap/>
            <w:vAlign w:val="center"/>
          </w:tcPr>
          <w:p w14:paraId="442576C7">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021B1E6A">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B6F566B">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04E75160">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46115D4E">
            <w:pPr>
              <w:keepLines w:val="0"/>
              <w:pageBreakBefore w:val="0"/>
              <w:kinsoku/>
              <w:overflowPunct/>
              <w:bidi w:val="0"/>
              <w:spacing w:line="360" w:lineRule="auto"/>
              <w:jc w:val="center"/>
              <w:outlineLvl w:val="5"/>
              <w:rPr>
                <w:rFonts w:hAnsi="宋体" w:cs="宋体"/>
                <w:bCs/>
                <w:color w:val="auto"/>
                <w:highlight w:val="none"/>
              </w:rPr>
            </w:pPr>
          </w:p>
        </w:tc>
        <w:tc>
          <w:tcPr>
            <w:tcW w:w="1371" w:type="dxa"/>
            <w:noWrap/>
          </w:tcPr>
          <w:p w14:paraId="053876D0">
            <w:pPr>
              <w:keepLines w:val="0"/>
              <w:pageBreakBefore w:val="0"/>
              <w:kinsoku/>
              <w:overflowPunct/>
              <w:bidi w:val="0"/>
              <w:spacing w:line="360" w:lineRule="auto"/>
              <w:jc w:val="center"/>
              <w:outlineLvl w:val="5"/>
              <w:rPr>
                <w:rFonts w:hAnsi="宋体" w:cs="宋体"/>
                <w:bCs/>
                <w:color w:val="auto"/>
                <w:highlight w:val="none"/>
              </w:rPr>
            </w:pPr>
          </w:p>
        </w:tc>
        <w:tc>
          <w:tcPr>
            <w:tcW w:w="955" w:type="dxa"/>
            <w:noWrap/>
          </w:tcPr>
          <w:p w14:paraId="50B33B1B">
            <w:pPr>
              <w:keepLines w:val="0"/>
              <w:pageBreakBefore w:val="0"/>
              <w:kinsoku/>
              <w:overflowPunct/>
              <w:bidi w:val="0"/>
              <w:spacing w:line="360" w:lineRule="auto"/>
              <w:jc w:val="center"/>
              <w:outlineLvl w:val="5"/>
              <w:rPr>
                <w:rFonts w:hAnsi="宋体" w:cs="宋体"/>
                <w:bCs/>
                <w:color w:val="auto"/>
                <w:highlight w:val="none"/>
              </w:rPr>
            </w:pPr>
          </w:p>
        </w:tc>
        <w:tc>
          <w:tcPr>
            <w:tcW w:w="1092" w:type="dxa"/>
            <w:noWrap/>
          </w:tcPr>
          <w:p w14:paraId="53D77FF2">
            <w:pPr>
              <w:keepLines w:val="0"/>
              <w:pageBreakBefore w:val="0"/>
              <w:kinsoku/>
              <w:overflowPunct/>
              <w:bidi w:val="0"/>
              <w:spacing w:line="360" w:lineRule="auto"/>
              <w:jc w:val="center"/>
              <w:outlineLvl w:val="5"/>
              <w:rPr>
                <w:rFonts w:hAnsi="宋体" w:cs="宋体"/>
                <w:bCs/>
                <w:color w:val="auto"/>
                <w:highlight w:val="none"/>
              </w:rPr>
            </w:pPr>
          </w:p>
        </w:tc>
        <w:tc>
          <w:tcPr>
            <w:tcW w:w="951" w:type="dxa"/>
            <w:noWrap/>
          </w:tcPr>
          <w:p w14:paraId="0E1DEE6B">
            <w:pPr>
              <w:keepLines w:val="0"/>
              <w:pageBreakBefore w:val="0"/>
              <w:kinsoku/>
              <w:overflowPunct/>
              <w:bidi w:val="0"/>
              <w:spacing w:line="360" w:lineRule="auto"/>
              <w:jc w:val="center"/>
              <w:outlineLvl w:val="5"/>
              <w:rPr>
                <w:rFonts w:hAnsi="宋体" w:cs="宋体"/>
                <w:bCs/>
                <w:color w:val="auto"/>
                <w:highlight w:val="none"/>
              </w:rPr>
            </w:pPr>
          </w:p>
        </w:tc>
      </w:tr>
    </w:tbl>
    <w:p w14:paraId="412CB60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41921577">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79455140">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投标人名称（盖单位公章）：</w:t>
      </w:r>
    </w:p>
    <w:p w14:paraId="1DF56E98">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法定代表人或授权代表（签字）：</w:t>
      </w:r>
    </w:p>
    <w:p w14:paraId="4B60008C">
      <w:pPr>
        <w:keepLines w:val="0"/>
        <w:pageBreakBefore w:val="0"/>
        <w:kinsoku/>
        <w:overflowPunct/>
        <w:bidi w:val="0"/>
        <w:adjustRightInd w:val="0"/>
        <w:spacing w:line="360" w:lineRule="auto"/>
        <w:rPr>
          <w:rFonts w:hint="eastAsia" w:hAnsi="宋体"/>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olor w:val="auto"/>
          <w:highlight w:val="none"/>
        </w:rPr>
        <w:t>日期：</w:t>
      </w:r>
    </w:p>
    <w:p w14:paraId="1F3E3E85">
      <w:pPr>
        <w:pStyle w:val="3"/>
        <w:keepLines w:val="0"/>
        <w:pageBreakBefore w:val="0"/>
        <w:widowControl/>
        <w:kinsoku/>
        <w:wordWrap/>
        <w:overflowPunct/>
        <w:topLinePunct w:val="0"/>
        <w:autoSpaceDE/>
        <w:autoSpaceDN/>
        <w:bidi w:val="0"/>
        <w:spacing w:line="480" w:lineRule="auto"/>
        <w:textAlignment w:val="auto"/>
        <w:rPr>
          <w:rFonts w:hAnsi="宋体"/>
          <w:b/>
          <w:sz w:val="28"/>
          <w:szCs w:val="28"/>
        </w:rPr>
      </w:pPr>
      <w:r>
        <w:rPr>
          <w:rFonts w:hint="eastAsia"/>
          <w:color w:val="auto"/>
          <w:sz w:val="32"/>
          <w:szCs w:val="32"/>
          <w:highlight w:val="none"/>
          <w:lang w:val="en-US" w:eastAsia="zh-CN"/>
        </w:rPr>
        <w:t>十二、中小企业声明函</w:t>
      </w:r>
    </w:p>
    <w:p w14:paraId="2860A569">
      <w:pPr>
        <w:pStyle w:val="3"/>
        <w:keepLines w:val="0"/>
        <w:pageBreakBefore w:val="0"/>
        <w:widowControl/>
        <w:kinsoku/>
        <w:wordWrap/>
        <w:overflowPunct/>
        <w:topLinePunct w:val="0"/>
        <w:autoSpaceDE/>
        <w:autoSpaceDN/>
        <w:bidi w:val="0"/>
        <w:spacing w:line="480" w:lineRule="auto"/>
        <w:jc w:val="both"/>
        <w:textAlignment w:val="auto"/>
        <w:rPr>
          <w:rFonts w:hint="eastAsia" w:ascii="宋体" w:hAnsi="宋体" w:cs="宋体"/>
          <w:b w:val="0"/>
          <w:bCs w:val="0"/>
          <w:sz w:val="24"/>
          <w:szCs w:val="24"/>
          <w:lang w:val="en-US" w:eastAsia="zh-CN"/>
        </w:rPr>
      </w:pPr>
      <w:r>
        <w:rPr>
          <w:rFonts w:ascii="宋体" w:hAnsi="宋体" w:cs="宋体"/>
        </w:rPr>
        <w:t xml:space="preserve"> </w:t>
      </w:r>
      <w:r>
        <w:rPr>
          <w:rFonts w:hint="eastAsia" w:ascii="宋体" w:hAnsi="宋体" w:cs="宋体"/>
        </w:rPr>
        <w:t xml:space="preserve">  </w:t>
      </w:r>
      <w:r>
        <w:rPr>
          <w:rFonts w:hint="eastAsia" w:ascii="宋体" w:hAnsi="宋体" w:cs="宋体"/>
          <w:b w:val="0"/>
          <w:bCs w:val="0"/>
          <w:sz w:val="24"/>
          <w:szCs w:val="24"/>
          <w:lang w:val="en-US" w:eastAsia="zh-CN"/>
        </w:rPr>
        <w:t>本公司郑重声明，根据《政府采购促进中小企业发展管理办法》（财库[2020]46号）的规定，本公司参加___</w:t>
      </w:r>
      <w:r>
        <w:rPr>
          <w:rFonts w:hint="eastAsia" w:ascii="宋体" w:hAnsi="宋体" w:cs="宋体"/>
          <w:b w:val="0"/>
          <w:bCs w:val="0"/>
          <w:sz w:val="24"/>
          <w:szCs w:val="24"/>
          <w:u w:val="single"/>
          <w:lang w:val="en-US" w:eastAsia="zh-CN"/>
        </w:rPr>
        <w:t>（招标单位名称或招标代理机构名称）_</w:t>
      </w:r>
      <w:r>
        <w:rPr>
          <w:rFonts w:hint="eastAsia" w:ascii="宋体" w:hAnsi="宋体" w:cs="宋体"/>
          <w:b w:val="0"/>
          <w:bCs w:val="0"/>
          <w:sz w:val="24"/>
          <w:szCs w:val="24"/>
          <w:lang w:val="en-US" w:eastAsia="zh-CN"/>
        </w:rPr>
        <w:t>_的</w:t>
      </w:r>
      <w:r>
        <w:rPr>
          <w:rFonts w:hint="eastAsia" w:ascii="宋体" w:hAnsi="宋体" w:cs="宋体"/>
          <w:b w:val="0"/>
          <w:bCs w:val="0"/>
          <w:sz w:val="24"/>
          <w:szCs w:val="24"/>
          <w:u w:val="single"/>
          <w:lang w:val="en-US" w:eastAsia="zh-CN"/>
        </w:rPr>
        <w:t xml:space="preserve">      （项目名称）     </w:t>
      </w:r>
      <w:r>
        <w:rPr>
          <w:rFonts w:hint="eastAsia" w:ascii="宋体" w:hAnsi="宋体" w:cs="宋体"/>
          <w:b w:val="0"/>
          <w:bCs w:val="0"/>
          <w:sz w:val="24"/>
          <w:szCs w:val="24"/>
          <w:lang w:val="en-US" w:eastAsia="zh-CN"/>
        </w:rPr>
        <w:t>采购活动，提供的货物全部由符合政策要求的中小企业制造。相关企业的具体情况如下：</w:t>
      </w:r>
    </w:p>
    <w:p w14:paraId="3855E149">
      <w:pPr>
        <w:pStyle w:val="3"/>
        <w:keepLines w:val="0"/>
        <w:pageBreakBefore w:val="0"/>
        <w:widowControl/>
        <w:kinsoku/>
        <w:wordWrap/>
        <w:overflowPunct/>
        <w:topLinePunct w:val="0"/>
        <w:autoSpaceDE/>
        <w:autoSpaceDN/>
        <w:bidi w:val="0"/>
        <w:spacing w:line="48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1. </w:t>
      </w:r>
      <w:r>
        <w:rPr>
          <w:rFonts w:hint="eastAsia" w:ascii="宋体" w:hAnsi="宋体" w:cs="宋体"/>
          <w:b w:val="0"/>
          <w:bCs w:val="0"/>
          <w:sz w:val="24"/>
          <w:szCs w:val="24"/>
          <w:u w:val="single"/>
          <w:lang w:val="en-US" w:eastAsia="zh-CN"/>
        </w:rPr>
        <w:t xml:space="preserve"> （标的名称）</w:t>
      </w:r>
      <w:r>
        <w:rPr>
          <w:rFonts w:hint="eastAsia" w:ascii="宋体" w:hAnsi="宋体" w:cs="宋体"/>
          <w:b w:val="0"/>
          <w:bCs w:val="0"/>
          <w:sz w:val="24"/>
          <w:szCs w:val="24"/>
          <w:lang w:val="en-US" w:eastAsia="zh-CN"/>
        </w:rPr>
        <w:t>，属于</w:t>
      </w:r>
      <w:r>
        <w:rPr>
          <w:rFonts w:hint="eastAsia" w:ascii="宋体" w:hAnsi="宋体" w:cs="宋体"/>
          <w:b w:val="0"/>
          <w:bCs w:val="0"/>
          <w:sz w:val="24"/>
          <w:szCs w:val="24"/>
          <w:u w:val="single"/>
          <w:lang w:val="en-US" w:eastAsia="zh-CN"/>
        </w:rPr>
        <w:t>（采购文件中明确的所属行业）</w:t>
      </w:r>
      <w:r>
        <w:rPr>
          <w:rFonts w:hint="eastAsia" w:ascii="宋体" w:hAnsi="宋体" w:cs="宋体"/>
          <w:b w:val="0"/>
          <w:bCs w:val="0"/>
          <w:sz w:val="24"/>
          <w:szCs w:val="24"/>
          <w:lang w:val="en-US" w:eastAsia="zh-CN"/>
        </w:rPr>
        <w:t>；制造商为</w:t>
      </w:r>
      <w:r>
        <w:rPr>
          <w:rFonts w:hint="eastAsia" w:ascii="宋体" w:hAnsi="宋体" w:cs="宋体"/>
          <w:b w:val="0"/>
          <w:bCs w:val="0"/>
          <w:sz w:val="24"/>
          <w:szCs w:val="24"/>
          <w:u w:val="single"/>
          <w:lang w:val="en-US" w:eastAsia="zh-CN"/>
        </w:rPr>
        <w:t>（企业名称）</w:t>
      </w:r>
      <w:r>
        <w:rPr>
          <w:rFonts w:hint="eastAsia" w:ascii="宋体" w:hAnsi="宋体" w:cs="宋体"/>
          <w:b w:val="0"/>
          <w:bCs w:val="0"/>
          <w:sz w:val="24"/>
          <w:szCs w:val="24"/>
          <w:lang w:val="en-US" w:eastAsia="zh-CN"/>
        </w:rPr>
        <w:t>，从业人员</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lang w:val="en-US" w:eastAsia="zh-CN"/>
        </w:rPr>
        <w:t>人，营业收入为</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lang w:val="en-US" w:eastAsia="zh-CN"/>
        </w:rPr>
        <w:t>万元，资产总额为</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lang w:val="en-US" w:eastAsia="zh-CN"/>
        </w:rPr>
        <w:t>万元1，属于（中型企业、小型企业、微型企业）；</w:t>
      </w:r>
    </w:p>
    <w:p w14:paraId="0B91CFA0">
      <w:pPr>
        <w:pStyle w:val="3"/>
        <w:keepLines w:val="0"/>
        <w:pageBreakBefore w:val="0"/>
        <w:widowControl/>
        <w:kinsoku/>
        <w:wordWrap/>
        <w:overflowPunct/>
        <w:topLinePunct w:val="0"/>
        <w:autoSpaceDE/>
        <w:autoSpaceDN/>
        <w:bidi w:val="0"/>
        <w:spacing w:line="48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  （标的名称），属于（采购文件中明确的所属行业）；制造商为（企业名称），从业人员   人，营业收入为   万元，资产总额为   万元1，属于（中型企业、小型企业、微型企业）；</w:t>
      </w:r>
    </w:p>
    <w:p w14:paraId="48323477">
      <w:pPr>
        <w:pStyle w:val="3"/>
        <w:keepLines w:val="0"/>
        <w:pageBreakBefore w:val="0"/>
        <w:widowControl/>
        <w:kinsoku/>
        <w:wordWrap/>
        <w:overflowPunct/>
        <w:topLinePunct w:val="0"/>
        <w:autoSpaceDE/>
        <w:autoSpaceDN/>
        <w:bidi w:val="0"/>
        <w:spacing w:line="48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w:t>
      </w:r>
    </w:p>
    <w:p w14:paraId="56B2242F">
      <w:pPr>
        <w:pStyle w:val="3"/>
        <w:keepLines w:val="0"/>
        <w:pageBreakBefore w:val="0"/>
        <w:widowControl/>
        <w:kinsoku/>
        <w:wordWrap/>
        <w:overflowPunct/>
        <w:topLinePunct w:val="0"/>
        <w:autoSpaceDE/>
        <w:autoSpaceDN/>
        <w:bidi w:val="0"/>
        <w:spacing w:line="48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以上企业，不属于大企业的分支机构，不存在控股股东为大企业的情形，也不存在与大企业的负责人为同一人的情形。</w:t>
      </w:r>
    </w:p>
    <w:p w14:paraId="1B2052E7">
      <w:pPr>
        <w:pStyle w:val="3"/>
        <w:keepLines w:val="0"/>
        <w:pageBreakBefore w:val="0"/>
        <w:widowControl/>
        <w:kinsoku/>
        <w:wordWrap/>
        <w:overflowPunct/>
        <w:topLinePunct w:val="0"/>
        <w:autoSpaceDE/>
        <w:autoSpaceDN/>
        <w:bidi w:val="0"/>
        <w:spacing w:line="48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本企业对上述声明内容的真实性负责。如有虚假，将依法承担相应责任。   </w:t>
      </w:r>
    </w:p>
    <w:p w14:paraId="3D465823">
      <w:pPr>
        <w:pStyle w:val="3"/>
        <w:keepLines w:val="0"/>
        <w:pageBreakBefore w:val="0"/>
        <w:widowControl/>
        <w:kinsoku/>
        <w:wordWrap/>
        <w:overflowPunct/>
        <w:topLinePunct w:val="0"/>
        <w:autoSpaceDE/>
        <w:autoSpaceDN/>
        <w:bidi w:val="0"/>
        <w:spacing w:line="48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企业名称（盖章）：                 </w:t>
      </w:r>
    </w:p>
    <w:p w14:paraId="6E64F9C9">
      <w:pPr>
        <w:pStyle w:val="3"/>
        <w:keepLines w:val="0"/>
        <w:pageBreakBefore w:val="0"/>
        <w:widowControl/>
        <w:kinsoku/>
        <w:wordWrap/>
        <w:overflowPunct/>
        <w:topLinePunct w:val="0"/>
        <w:autoSpaceDE/>
        <w:autoSpaceDN/>
        <w:bidi w:val="0"/>
        <w:spacing w:line="48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日期：    年    月   日</w:t>
      </w:r>
    </w:p>
    <w:p w14:paraId="2FBF4122">
      <w:pPr>
        <w:pStyle w:val="3"/>
        <w:keepLines w:val="0"/>
        <w:pageBreakBefore w:val="0"/>
        <w:widowControl/>
        <w:kinsoku/>
        <w:wordWrap/>
        <w:overflowPunct/>
        <w:topLinePunct w:val="0"/>
        <w:autoSpaceDE/>
        <w:autoSpaceDN/>
        <w:bidi w:val="0"/>
        <w:spacing w:line="48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1从业人员、营业收入、资产总额填报上一年度数据，无上一年度数据的新成立企业可不填报。</w:t>
      </w:r>
    </w:p>
    <w:p w14:paraId="58CCAD6B">
      <w:pPr>
        <w:rPr>
          <w:rFonts w:hint="eastAsia"/>
          <w:color w:val="auto"/>
          <w:sz w:val="32"/>
          <w:szCs w:val="32"/>
          <w:highlight w:val="none"/>
          <w:lang w:val="en-US" w:eastAsia="zh-CN"/>
        </w:rPr>
      </w:pPr>
      <w:r>
        <w:rPr>
          <w:rFonts w:hint="eastAsia"/>
          <w:color w:val="auto"/>
          <w:sz w:val="32"/>
          <w:szCs w:val="32"/>
          <w:highlight w:val="none"/>
          <w:lang w:val="en-US" w:eastAsia="zh-CN"/>
        </w:rPr>
        <w:br w:type="page"/>
      </w:r>
    </w:p>
    <w:p w14:paraId="530F882F">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十三、残疾人福利性单位声明函</w:t>
      </w:r>
    </w:p>
    <w:p w14:paraId="3D8B03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本单位郑重声明，根据《财政部 民政部 中国残疾人联合会关于促进残疾人就业政府采购政策的通知》（财库〔2017〕 141号）的规定，本单位为符合条件的残疾人福利性单位，且本单位参加_____单位的______项目采购活动提供本单位制造的货物（由本单位承担工程/提供服务），或者提供其他残疾人福利性单位制造的货物（不包括使用非残疾人福利性单位注册商标的货物）。</w:t>
      </w:r>
    </w:p>
    <w:p w14:paraId="1310B22B">
      <w:pPr>
        <w:keepLines w:val="0"/>
        <w:pageBreakBefore w:val="0"/>
        <w:kinsoku/>
        <w:overflowPunct/>
        <w:bidi w:val="0"/>
        <w:spacing w:line="360" w:lineRule="auto"/>
        <w:ind w:firstLine="480" w:firstLineChars="200"/>
        <w:rPr>
          <w:rFonts w:hAnsi="宋体" w:cs="宋体"/>
          <w:color w:val="auto"/>
          <w:highlight w:val="none"/>
        </w:rPr>
      </w:pPr>
      <w:r>
        <w:rPr>
          <w:rFonts w:hint="eastAsia" w:hAnsi="宋体" w:cs="宋体"/>
          <w:color w:val="auto"/>
          <w:highlight w:val="none"/>
        </w:rPr>
        <w:t>本公司对上述声明内容事项真实性负责。如经查实上述声明的内容事项存在虚假，本单位愿意接受以提供虚假材料谋取中标追究法律责任。</w:t>
      </w:r>
    </w:p>
    <w:p w14:paraId="0EDDD72D">
      <w:pPr>
        <w:keepLines w:val="0"/>
        <w:pageBreakBefore w:val="0"/>
        <w:kinsoku/>
        <w:overflowPunct/>
        <w:bidi w:val="0"/>
        <w:spacing w:line="360" w:lineRule="auto"/>
        <w:rPr>
          <w:rFonts w:hAnsi="宋体" w:cs="宋体"/>
          <w:color w:val="auto"/>
          <w:highlight w:val="none"/>
        </w:rPr>
      </w:pPr>
    </w:p>
    <w:p w14:paraId="0FF00BF0">
      <w:pPr>
        <w:keepLines w:val="0"/>
        <w:pageBreakBefore w:val="0"/>
        <w:kinsoku/>
        <w:overflowPunct/>
        <w:bidi w:val="0"/>
        <w:spacing w:line="360" w:lineRule="auto"/>
        <w:rPr>
          <w:rFonts w:hAnsi="宋体" w:cs="宋体"/>
          <w:color w:val="auto"/>
          <w:highlight w:val="none"/>
        </w:rPr>
      </w:pPr>
    </w:p>
    <w:p w14:paraId="7612437D">
      <w:pPr>
        <w:keepLines w:val="0"/>
        <w:pageBreakBefore w:val="0"/>
        <w:kinsoku/>
        <w:overflowPunct/>
        <w:bidi w:val="0"/>
        <w:spacing w:line="360" w:lineRule="auto"/>
        <w:rPr>
          <w:rFonts w:hAnsi="宋体" w:cs="宋体"/>
          <w:color w:val="auto"/>
          <w:highlight w:val="none"/>
        </w:rPr>
      </w:pPr>
      <w:r>
        <w:rPr>
          <w:rFonts w:hint="eastAsia" w:hAnsi="宋体" w:cs="宋体"/>
          <w:color w:val="auto"/>
          <w:highlight w:val="none"/>
        </w:rPr>
        <w:t>投标人名称（盖单位公章）：</w:t>
      </w:r>
    </w:p>
    <w:p w14:paraId="7ED45A6C">
      <w:pPr>
        <w:keepLines w:val="0"/>
        <w:pageBreakBefore w:val="0"/>
        <w:kinsoku/>
        <w:overflowPunct/>
        <w:bidi w:val="0"/>
        <w:spacing w:line="360" w:lineRule="auto"/>
        <w:rPr>
          <w:rFonts w:hAnsi="宋体" w:cs="宋体"/>
          <w:color w:val="auto"/>
          <w:highlight w:val="none"/>
        </w:rPr>
      </w:pPr>
      <w:r>
        <w:rPr>
          <w:rFonts w:hint="eastAsia" w:hAnsi="宋体" w:cs="宋体"/>
          <w:color w:val="auto"/>
          <w:highlight w:val="none"/>
        </w:rPr>
        <w:t>法定代表人或授权代表（签字）：</w:t>
      </w:r>
    </w:p>
    <w:p w14:paraId="1C0B676F">
      <w:pPr>
        <w:keepLines w:val="0"/>
        <w:pageBreakBefore w:val="0"/>
        <w:kinsoku/>
        <w:overflowPunct/>
        <w:bidi w:val="0"/>
        <w:spacing w:line="360" w:lineRule="auto"/>
        <w:rPr>
          <w:rFonts w:hAnsi="宋体" w:cs="宋体"/>
          <w:color w:val="auto"/>
          <w:highlight w:val="none"/>
        </w:rPr>
      </w:pPr>
      <w:r>
        <w:rPr>
          <w:rFonts w:hint="eastAsia" w:hAnsi="宋体" w:cs="宋体"/>
          <w:color w:val="auto"/>
          <w:highlight w:val="none"/>
        </w:rPr>
        <w:t>日期：</w:t>
      </w:r>
    </w:p>
    <w:p w14:paraId="49977C20">
      <w:pPr>
        <w:keepLines w:val="0"/>
        <w:pageBreakBefore w:val="0"/>
        <w:kinsoku/>
        <w:overflowPunct/>
        <w:bidi w:val="0"/>
        <w:spacing w:line="360" w:lineRule="auto"/>
        <w:rPr>
          <w:color w:val="auto"/>
          <w:highlight w:val="none"/>
        </w:rPr>
      </w:pPr>
    </w:p>
    <w:p w14:paraId="734E0A0D">
      <w:pPr>
        <w:keepLines w:val="0"/>
        <w:pageBreakBefore w:val="0"/>
        <w:kinsoku/>
        <w:overflowPunct/>
        <w:bidi w:val="0"/>
        <w:spacing w:line="360" w:lineRule="auto"/>
        <w:rPr>
          <w:rFonts w:hint="eastAsia"/>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color w:val="auto"/>
          <w:highlight w:val="none"/>
        </w:rPr>
        <w:t>注</w:t>
      </w:r>
      <w:r>
        <w:rPr>
          <w:rFonts w:hint="eastAsia"/>
          <w:color w:val="auto"/>
          <w:highlight w:val="none"/>
        </w:rPr>
        <w:t>：</w:t>
      </w:r>
      <w:r>
        <w:rPr>
          <w:color w:val="auto"/>
          <w:highlight w:val="none"/>
        </w:rPr>
        <w:t>非</w:t>
      </w:r>
      <w:r>
        <w:rPr>
          <w:rFonts w:hint="eastAsia"/>
          <w:color w:val="auto"/>
          <w:highlight w:val="none"/>
        </w:rPr>
        <w:t>残疾人福利性单位不用提供以上声明函。</w:t>
      </w:r>
    </w:p>
    <w:p w14:paraId="1DE26637">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十四、近三年在经营活动中没有重大违法记录的书面声明</w:t>
      </w:r>
    </w:p>
    <w:p w14:paraId="7C18A611">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lang w:eastAsia="zh-CN"/>
        </w:rPr>
      </w:pPr>
    </w:p>
    <w:p w14:paraId="6E4997A0">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四川凉都招标代理有限公司：</w:t>
      </w:r>
    </w:p>
    <w:p w14:paraId="7E8FF5A5">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本单位（公司名称）参加（项目名称）的投标活动，现承诺本单位在参加政府采购活动前三年内，在经营活动中没有重大违法记录。</w:t>
      </w:r>
    </w:p>
    <w:p w14:paraId="623949BB">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本公司对上述承诺内容事项真实性负责。如经查实上述承诺的内容事项存在虚假，我公司愿意接受以提供虚假材料谋取中标追究法律责任。</w:t>
      </w:r>
    </w:p>
    <w:p w14:paraId="25C31AF3">
      <w:pPr>
        <w:keepLines w:val="0"/>
        <w:pageBreakBefore w:val="0"/>
        <w:kinsoku/>
        <w:overflowPunct/>
        <w:bidi w:val="0"/>
        <w:spacing w:line="360" w:lineRule="auto"/>
        <w:ind w:firstLine="480" w:firstLineChars="200"/>
        <w:rPr>
          <w:rFonts w:hint="eastAsia" w:hAnsi="宋体" w:cs="宋体"/>
          <w:color w:val="auto"/>
          <w:highlight w:val="none"/>
        </w:rPr>
      </w:pPr>
    </w:p>
    <w:p w14:paraId="2DB52405">
      <w:pPr>
        <w:pStyle w:val="28"/>
        <w:rPr>
          <w:rFonts w:hint="eastAsia"/>
          <w:color w:val="auto"/>
          <w:highlight w:val="none"/>
        </w:rPr>
      </w:pPr>
    </w:p>
    <w:p w14:paraId="6AA45CB1">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 xml:space="preserve">说明：重大违法记录中的较大数额罚款的具体金额标准，根据财政部关于《中华人民共和国政府采购法实施条例》第十九条第一款“较大数额罚款”具体适用问题的意见（财库〔2022〕3号）的规定，认定为200万元以上的罚款，法律、行政法规以及国务院有关部门明确规定相关领域“较大数额罚款”标准高于200万元的，从其规定。 </w:t>
      </w:r>
    </w:p>
    <w:p w14:paraId="413C4FBF">
      <w:pPr>
        <w:keepLines w:val="0"/>
        <w:pageBreakBefore w:val="0"/>
        <w:kinsoku/>
        <w:overflowPunct/>
        <w:bidi w:val="0"/>
        <w:spacing w:line="360" w:lineRule="auto"/>
        <w:rPr>
          <w:rFonts w:hAnsi="宋体" w:cs="宋体"/>
          <w:color w:val="auto"/>
          <w:highlight w:val="none"/>
        </w:rPr>
      </w:pPr>
    </w:p>
    <w:p w14:paraId="2715BE15">
      <w:pPr>
        <w:keepLines w:val="0"/>
        <w:pageBreakBefore w:val="0"/>
        <w:kinsoku/>
        <w:overflowPunct/>
        <w:bidi w:val="0"/>
        <w:spacing w:line="360" w:lineRule="auto"/>
        <w:rPr>
          <w:rFonts w:hAnsi="宋体" w:cs="宋体"/>
          <w:color w:val="auto"/>
          <w:highlight w:val="none"/>
        </w:rPr>
      </w:pPr>
    </w:p>
    <w:p w14:paraId="57AA10C6">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77324733">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525AEABB">
      <w:pPr>
        <w:keepLines w:val="0"/>
        <w:pageBreakBefore w:val="0"/>
        <w:kinsoku/>
        <w:overflowPunct/>
        <w:bidi w:val="0"/>
        <w:spacing w:line="360" w:lineRule="auto"/>
        <w:rPr>
          <w:rFonts w:hint="eastAsia" w:hAnsi="宋体" w:cs="宋体"/>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s="宋体"/>
          <w:color w:val="auto"/>
          <w:highlight w:val="none"/>
        </w:rPr>
        <w:t>日期：</w:t>
      </w:r>
    </w:p>
    <w:p w14:paraId="32BD68B4">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十五、知识产权声明函</w:t>
      </w:r>
    </w:p>
    <w:p w14:paraId="57DF1D9E">
      <w:pPr>
        <w:keepLines w:val="0"/>
        <w:pageBreakBefore w:val="0"/>
        <w:kinsoku/>
        <w:overflowPunct/>
        <w:bidi w:val="0"/>
        <w:spacing w:line="360" w:lineRule="auto"/>
        <w:rPr>
          <w:rFonts w:hint="eastAsia" w:hAnsi="宋体" w:cs="宋体"/>
          <w:color w:val="auto"/>
          <w:highlight w:val="none"/>
          <w:lang w:eastAsia="zh-CN"/>
        </w:rPr>
      </w:pPr>
    </w:p>
    <w:p w14:paraId="614742DB">
      <w:pPr>
        <w:keepLines w:val="0"/>
        <w:pageBreakBefore w:val="0"/>
        <w:kinsoku/>
        <w:overflowPunct/>
        <w:bidi w:val="0"/>
        <w:spacing w:line="360" w:lineRule="auto"/>
        <w:rPr>
          <w:rFonts w:hint="eastAsia" w:hAnsi="宋体" w:eastAsia="宋体" w:cs="宋体"/>
          <w:color w:val="auto"/>
          <w:highlight w:val="none"/>
          <w:lang w:eastAsia="zh-CN"/>
        </w:rPr>
      </w:pPr>
      <w:r>
        <w:rPr>
          <w:rFonts w:hint="eastAsia" w:hAnsi="宋体" w:cs="宋体"/>
          <w:color w:val="auto"/>
          <w:highlight w:val="none"/>
          <w:lang w:eastAsia="zh-CN"/>
        </w:rPr>
        <w:t>四川凉都招标代理有限公司：</w:t>
      </w:r>
    </w:p>
    <w:p w14:paraId="7D649B64">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本单位（公司名称）参加（项目名称）的投标活动，现承诺声明：</w:t>
      </w:r>
    </w:p>
    <w:p w14:paraId="533B1D2B">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eastAsia="zh-CN"/>
        </w:rPr>
        <w:t>、</w:t>
      </w:r>
      <w:r>
        <w:rPr>
          <w:rFonts w:hint="eastAsia" w:hAnsi="宋体" w:cs="宋体"/>
          <w:color w:val="auto"/>
          <w:highlight w:val="none"/>
        </w:rPr>
        <w:t>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14:paraId="31FC78AB">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2</w:t>
      </w:r>
      <w:r>
        <w:rPr>
          <w:rFonts w:hint="eastAsia" w:hAnsi="宋体" w:cs="宋体"/>
          <w:color w:val="auto"/>
          <w:highlight w:val="none"/>
          <w:lang w:eastAsia="zh-CN"/>
        </w:rPr>
        <w:t>、</w:t>
      </w:r>
      <w:r>
        <w:rPr>
          <w:rFonts w:hint="eastAsia" w:hAnsi="宋体" w:cs="宋体"/>
          <w:color w:val="auto"/>
          <w:highlight w:val="none"/>
        </w:rPr>
        <w:t>采购人享有本项目实施过程中产生的知识成果及知识产权。</w:t>
      </w:r>
    </w:p>
    <w:p w14:paraId="519A4BB2">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3</w:t>
      </w:r>
      <w:r>
        <w:rPr>
          <w:rFonts w:hint="eastAsia" w:hAnsi="宋体" w:cs="宋体"/>
          <w:color w:val="auto"/>
          <w:highlight w:val="none"/>
          <w:lang w:eastAsia="zh-CN"/>
        </w:rPr>
        <w:t>、</w:t>
      </w:r>
      <w:r>
        <w:rPr>
          <w:rFonts w:hint="eastAsia" w:hAnsi="宋体" w:cs="宋体"/>
          <w:color w:val="auto"/>
          <w:highlight w:val="none"/>
        </w:rPr>
        <w:t>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14:paraId="203CCBAB">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4</w:t>
      </w:r>
      <w:r>
        <w:rPr>
          <w:rFonts w:hint="eastAsia" w:hAnsi="宋体" w:cs="宋体"/>
          <w:color w:val="auto"/>
          <w:highlight w:val="none"/>
          <w:lang w:eastAsia="zh-CN"/>
        </w:rPr>
        <w:t>、</w:t>
      </w:r>
      <w:r>
        <w:rPr>
          <w:rFonts w:hint="eastAsia" w:hAnsi="宋体" w:cs="宋体"/>
          <w:color w:val="auto"/>
          <w:highlight w:val="none"/>
        </w:rPr>
        <w:t xml:space="preserve">如采用本单位所不拥有的知识产权，本单位承诺在本项目投标报价中已经包括合法获取该知识产权的相关费用。 </w:t>
      </w:r>
    </w:p>
    <w:p w14:paraId="701E7ACB">
      <w:pPr>
        <w:keepLines w:val="0"/>
        <w:pageBreakBefore w:val="0"/>
        <w:kinsoku/>
        <w:overflowPunct/>
        <w:bidi w:val="0"/>
        <w:spacing w:line="360" w:lineRule="auto"/>
        <w:ind w:firstLine="482" w:firstLineChars="200"/>
        <w:rPr>
          <w:rFonts w:hint="eastAsia" w:hAnsi="宋体" w:cs="宋体"/>
          <w:b/>
          <w:bCs/>
          <w:color w:val="auto"/>
          <w:highlight w:val="none"/>
        </w:rPr>
      </w:pPr>
    </w:p>
    <w:p w14:paraId="2E2B854A">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本公司对上述承诺声明内容事项真实性负责。如经查实上述承诺声明的内容事项存在虚假或未履行，本单位愿意接受以提供虚假材料谋取中标追究法律责任。</w:t>
      </w:r>
    </w:p>
    <w:p w14:paraId="55FAF067">
      <w:pPr>
        <w:pStyle w:val="18"/>
        <w:keepLines w:val="0"/>
        <w:pageBreakBefore w:val="0"/>
        <w:kinsoku/>
        <w:overflowPunct/>
        <w:bidi w:val="0"/>
        <w:spacing w:line="360" w:lineRule="auto"/>
        <w:ind w:firstLine="422" w:firstLineChars="200"/>
        <w:rPr>
          <w:rFonts w:hAnsi="宋体" w:cs="宋体"/>
          <w:b/>
          <w:bCs/>
          <w:color w:val="auto"/>
          <w:highlight w:val="none"/>
        </w:rPr>
      </w:pPr>
    </w:p>
    <w:p w14:paraId="7788A36A">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4B33FDD4">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6F6C4A54">
      <w:pPr>
        <w:keepLines w:val="0"/>
        <w:pageBreakBefore w:val="0"/>
        <w:kinsoku/>
        <w:overflowPunct/>
        <w:bidi w:val="0"/>
        <w:spacing w:line="360" w:lineRule="auto"/>
        <w:rPr>
          <w:rFonts w:hint="eastAsia" w:hAnsi="宋体" w:cs="宋体"/>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s="宋体"/>
          <w:color w:val="auto"/>
          <w:highlight w:val="none"/>
        </w:rPr>
        <w:t>日期：</w:t>
      </w:r>
    </w:p>
    <w:p w14:paraId="2622610B">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十六、关于投标人控股关系声明函</w:t>
      </w:r>
    </w:p>
    <w:p w14:paraId="1E14161F">
      <w:pPr>
        <w:keepLines w:val="0"/>
        <w:pageBreakBefore w:val="0"/>
        <w:kinsoku/>
        <w:overflowPunct/>
        <w:bidi w:val="0"/>
        <w:spacing w:line="360" w:lineRule="auto"/>
        <w:rPr>
          <w:rFonts w:hint="eastAsia" w:hAnsi="宋体" w:cs="宋体"/>
          <w:color w:val="auto"/>
          <w:highlight w:val="none"/>
          <w:lang w:eastAsia="zh-CN"/>
        </w:rPr>
      </w:pPr>
    </w:p>
    <w:p w14:paraId="564939EE">
      <w:pPr>
        <w:keepLines w:val="0"/>
        <w:pageBreakBefore w:val="0"/>
        <w:kinsoku/>
        <w:overflowPunct/>
        <w:bidi w:val="0"/>
        <w:spacing w:line="360" w:lineRule="auto"/>
        <w:rPr>
          <w:rFonts w:hAnsi="宋体" w:cs="宋体"/>
          <w:color w:val="auto"/>
          <w:highlight w:val="none"/>
        </w:rPr>
      </w:pPr>
      <w:r>
        <w:rPr>
          <w:rFonts w:hint="eastAsia" w:hAnsi="宋体" w:cs="宋体"/>
          <w:color w:val="auto"/>
          <w:highlight w:val="none"/>
          <w:lang w:eastAsia="zh-CN"/>
        </w:rPr>
        <w:t>四川凉都招标代理有限公司</w:t>
      </w:r>
      <w:r>
        <w:rPr>
          <w:rFonts w:hint="eastAsia" w:hAnsi="宋体" w:cs="宋体"/>
          <w:color w:val="auto"/>
          <w:highlight w:val="none"/>
        </w:rPr>
        <w:t>：</w:t>
      </w:r>
    </w:p>
    <w:p w14:paraId="6C868112">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本单位（公司名称）参加（项目名称）的投标活动，现声明：</w:t>
      </w:r>
    </w:p>
    <w:p w14:paraId="02226575">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除本公司外，本单位负责人为同一人或者存在直接控股、管理关系的其他供应商均未参加本项目同一合同项下的政府采购活动。与本单位存在直接控股、管理关系的其他供应商均未参加本项目同一合同项下的政府采购活动（仅参加资格预审例外）。</w:t>
      </w:r>
    </w:p>
    <w:p w14:paraId="49EC0E01">
      <w:pPr>
        <w:keepLines w:val="0"/>
        <w:pageBreakBefore w:val="0"/>
        <w:kinsoku/>
        <w:overflowPunct/>
        <w:bidi w:val="0"/>
        <w:spacing w:line="360" w:lineRule="auto"/>
        <w:ind w:firstLine="480" w:firstLineChars="200"/>
        <w:rPr>
          <w:rFonts w:hint="eastAsia" w:hAnsi="宋体" w:cs="宋体"/>
          <w:color w:val="auto"/>
          <w:highlight w:val="none"/>
        </w:rPr>
      </w:pPr>
    </w:p>
    <w:p w14:paraId="6515C4E6">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本公司对上述声明内容事项真实性负责。如经查实上述承诺声明的内容事项存在虚假或未履行，本单位愿意接受相关处罚并追究法律责任。</w:t>
      </w:r>
    </w:p>
    <w:p w14:paraId="7E5CBE38">
      <w:pPr>
        <w:keepLines w:val="0"/>
        <w:pageBreakBefore w:val="0"/>
        <w:kinsoku/>
        <w:overflowPunct/>
        <w:bidi w:val="0"/>
        <w:spacing w:line="360" w:lineRule="auto"/>
        <w:ind w:firstLine="480" w:firstLineChars="200"/>
        <w:rPr>
          <w:rFonts w:hint="eastAsia" w:hAnsi="宋体" w:cs="宋体"/>
          <w:color w:val="auto"/>
          <w:highlight w:val="none"/>
        </w:rPr>
      </w:pPr>
    </w:p>
    <w:p w14:paraId="3C1CBB7D">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注：供应商应该列明其存在直接控股、管理关系的相关供应商名单作为附件。</w:t>
      </w:r>
    </w:p>
    <w:p w14:paraId="6186F7C9">
      <w:pPr>
        <w:pStyle w:val="18"/>
        <w:keepLines w:val="0"/>
        <w:pageBreakBefore w:val="0"/>
        <w:kinsoku/>
        <w:overflowPunct/>
        <w:bidi w:val="0"/>
        <w:spacing w:line="360" w:lineRule="auto"/>
        <w:ind w:firstLine="422" w:firstLineChars="200"/>
        <w:rPr>
          <w:rFonts w:hAnsi="宋体" w:cs="宋体"/>
          <w:b/>
          <w:bCs/>
          <w:color w:val="auto"/>
          <w:highlight w:val="none"/>
        </w:rPr>
      </w:pPr>
    </w:p>
    <w:p w14:paraId="4AA1EB68">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175EE7FD">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1C05AD59">
      <w:pPr>
        <w:keepLines w:val="0"/>
        <w:pageBreakBefore w:val="0"/>
        <w:kinsoku/>
        <w:overflowPunct/>
        <w:bidi w:val="0"/>
        <w:spacing w:line="360" w:lineRule="auto"/>
        <w:rPr>
          <w:rFonts w:hint="eastAsia" w:hAnsi="宋体" w:cs="宋体"/>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s="宋体"/>
          <w:color w:val="auto"/>
          <w:highlight w:val="none"/>
        </w:rPr>
        <w:t>日期：</w:t>
      </w:r>
    </w:p>
    <w:p w14:paraId="5EA79E7A">
      <w:pPr>
        <w:adjustRightInd w:val="0"/>
        <w:spacing w:line="400" w:lineRule="exact"/>
        <w:jc w:val="both"/>
        <w:rPr>
          <w:rFonts w:hint="eastAsia" w:ascii="Cambria" w:hAnsi="Cambria" w:eastAsia="宋体" w:cs="Times New Roman"/>
          <w:b/>
          <w:bCs/>
          <w:iCs/>
          <w:color w:val="auto"/>
          <w:sz w:val="32"/>
          <w:szCs w:val="32"/>
          <w:highlight w:val="none"/>
          <w:lang w:val="en-US" w:eastAsia="zh-CN" w:bidi="ar-SA"/>
        </w:rPr>
      </w:pPr>
    </w:p>
    <w:p w14:paraId="7524AB15">
      <w:pPr>
        <w:adjustRightInd w:val="0"/>
        <w:spacing w:line="400" w:lineRule="exact"/>
        <w:jc w:val="center"/>
        <w:rPr>
          <w:rFonts w:hint="eastAsia" w:ascii="Cambria" w:hAnsi="Cambria" w:eastAsia="宋体" w:cs="Times New Roman"/>
          <w:b/>
          <w:bCs/>
          <w:iCs/>
          <w:color w:val="auto"/>
          <w:sz w:val="32"/>
          <w:szCs w:val="32"/>
          <w:highlight w:val="none"/>
          <w:lang w:val="en-US" w:eastAsia="zh-CN" w:bidi="ar-SA"/>
        </w:rPr>
      </w:pPr>
    </w:p>
    <w:p w14:paraId="551F29BC">
      <w:pPr>
        <w:adjustRightInd w:val="0"/>
        <w:spacing w:line="400" w:lineRule="exact"/>
        <w:jc w:val="center"/>
        <w:rPr>
          <w:rFonts w:hint="eastAsia" w:ascii="Cambria" w:hAnsi="Cambria" w:eastAsia="宋体" w:cs="Times New Roman"/>
          <w:b/>
          <w:bCs/>
          <w:iCs/>
          <w:color w:val="auto"/>
          <w:sz w:val="32"/>
          <w:szCs w:val="32"/>
          <w:highlight w:val="none"/>
          <w:lang w:val="en-US" w:eastAsia="zh-CN" w:bidi="ar-SA"/>
        </w:rPr>
      </w:pPr>
      <w:r>
        <w:rPr>
          <w:rFonts w:hint="eastAsia" w:ascii="Cambria" w:hAnsi="Cambria" w:eastAsia="宋体" w:cs="Times New Roman"/>
          <w:b/>
          <w:bCs/>
          <w:iCs/>
          <w:color w:val="auto"/>
          <w:sz w:val="32"/>
          <w:szCs w:val="32"/>
          <w:highlight w:val="none"/>
          <w:lang w:val="en-US" w:eastAsia="zh-CN" w:bidi="ar-SA"/>
        </w:rPr>
        <w:t>十七、关于符合本国产品标准的声明函</w:t>
      </w:r>
    </w:p>
    <w:p w14:paraId="3A16EA80">
      <w:pPr>
        <w:adjustRightInd w:val="0"/>
        <w:spacing w:line="400" w:lineRule="exact"/>
        <w:jc w:val="center"/>
        <w:rPr>
          <w:rFonts w:hint="eastAsia" w:ascii="Cambria" w:hAnsi="Cambria" w:eastAsia="宋体" w:cs="Times New Roman"/>
          <w:b/>
          <w:bCs/>
          <w:iCs/>
          <w:color w:val="auto"/>
          <w:sz w:val="32"/>
          <w:szCs w:val="32"/>
          <w:highlight w:val="none"/>
          <w:lang w:val="en-US" w:eastAsia="zh-CN" w:bidi="ar-SA"/>
        </w:rPr>
      </w:pPr>
    </w:p>
    <w:p w14:paraId="6531DB1F">
      <w:pPr>
        <w:spacing w:line="323" w:lineRule="auto"/>
        <w:rPr>
          <w:rFonts w:ascii="Arial"/>
          <w:sz w:val="21"/>
        </w:rPr>
      </w:pPr>
    </w:p>
    <w:p w14:paraId="2427BE35">
      <w:pPr>
        <w:pStyle w:val="18"/>
        <w:spacing w:before="71" w:line="258" w:lineRule="auto"/>
        <w:ind w:left="10" w:right="54" w:firstLine="409"/>
        <w:jc w:val="both"/>
      </w:pPr>
      <w:r>
        <w:rPr>
          <w:spacing w:val="-1"/>
        </w:rPr>
        <w:t>本公司(单位)郑重声明，根据《国务院办公厅关于在政府采购中落实</w:t>
      </w:r>
      <w:r>
        <w:rPr>
          <w:spacing w:val="-2"/>
        </w:rPr>
        <w:t>本国产品政策</w:t>
      </w:r>
      <w:r>
        <w:t xml:space="preserve"> </w:t>
      </w:r>
      <w:r>
        <w:rPr>
          <w:spacing w:val="4"/>
        </w:rPr>
        <w:t>及相关政策的通知》(国办发〔2025〕34号)的规定，本公司</w:t>
      </w:r>
      <w:r>
        <w:rPr>
          <w:spacing w:val="3"/>
        </w:rPr>
        <w:t>(单位)提供的以下产品属</w:t>
      </w:r>
      <w:r>
        <w:t xml:space="preserve"> </w:t>
      </w:r>
      <w:r>
        <w:rPr>
          <w:spacing w:val="-8"/>
        </w:rPr>
        <w:t>于本国产品。具体情况如下：</w:t>
      </w:r>
    </w:p>
    <w:p w14:paraId="4F1BED60">
      <w:pPr>
        <w:pStyle w:val="18"/>
        <w:spacing w:before="58" w:line="222" w:lineRule="auto"/>
        <w:ind w:left="419"/>
      </w:pPr>
      <w:r>
        <w:rPr>
          <w:rFonts w:ascii="Arial" w:hAnsi="Arial" w:eastAsia="Arial" w:cs="Arial"/>
          <w:spacing w:val="4"/>
        </w:rPr>
        <w:t>1.</w:t>
      </w:r>
      <w:r>
        <w:rPr>
          <w:spacing w:val="4"/>
          <w:u w:val="single" w:color="auto"/>
        </w:rPr>
        <w:t>(产品名称1)</w:t>
      </w:r>
      <w:r>
        <w:rPr>
          <w:spacing w:val="-23"/>
        </w:rPr>
        <w:t xml:space="preserve"> </w:t>
      </w:r>
      <w:r>
        <w:rPr>
          <w:spacing w:val="4"/>
        </w:rPr>
        <w:t>,生产厂为</w:t>
      </w:r>
      <w:r>
        <w:rPr>
          <w:spacing w:val="-19"/>
        </w:rPr>
        <w:t xml:space="preserve"> </w:t>
      </w:r>
      <w:r>
        <w:rPr>
          <w:spacing w:val="-60"/>
          <w:u w:val="single" w:color="auto"/>
        </w:rPr>
        <w:t xml:space="preserve"> </w:t>
      </w:r>
      <w:r>
        <w:rPr>
          <w:spacing w:val="4"/>
          <w:u w:val="single" w:color="auto"/>
        </w:rPr>
        <w:t>(厂名)</w:t>
      </w:r>
      <w:r>
        <w:rPr>
          <w:spacing w:val="-22"/>
        </w:rPr>
        <w:t xml:space="preserve"> </w:t>
      </w:r>
      <w:r>
        <w:rPr>
          <w:spacing w:val="4"/>
        </w:rPr>
        <w:t>,厂址</w:t>
      </w:r>
      <w:r>
        <w:rPr>
          <w:spacing w:val="3"/>
        </w:rPr>
        <w:t xml:space="preserve">为 </w:t>
      </w:r>
      <w:r>
        <w:rPr>
          <w:spacing w:val="-60"/>
          <w:u w:val="single" w:color="auto"/>
        </w:rPr>
        <w:t xml:space="preserve"> </w:t>
      </w:r>
      <w:r>
        <w:rPr>
          <w:spacing w:val="3"/>
          <w:u w:val="single" w:color="auto"/>
        </w:rPr>
        <w:t>(生产厂址)</w:t>
      </w:r>
      <w:r>
        <w:rPr>
          <w:spacing w:val="3"/>
        </w:rPr>
        <w:t>。</w:t>
      </w:r>
    </w:p>
    <w:p w14:paraId="61DE65F0">
      <w:pPr>
        <w:pStyle w:val="18"/>
        <w:spacing w:before="45" w:line="222" w:lineRule="auto"/>
        <w:ind w:left="419"/>
      </w:pPr>
      <w:r>
        <w:rPr>
          <w:rFonts w:ascii="Arial" w:hAnsi="Arial" w:eastAsia="Arial" w:cs="Arial"/>
          <w:spacing w:val="5"/>
        </w:rPr>
        <w:t>2.</w:t>
      </w:r>
      <w:r>
        <w:rPr>
          <w:rFonts w:ascii="Arial" w:hAnsi="Arial" w:eastAsia="Arial" w:cs="Arial"/>
          <w:spacing w:val="-28"/>
        </w:rPr>
        <w:t xml:space="preserve"> </w:t>
      </w:r>
      <w:r>
        <w:rPr>
          <w:spacing w:val="-60"/>
          <w:u w:val="single" w:color="auto"/>
        </w:rPr>
        <w:t xml:space="preserve"> </w:t>
      </w:r>
      <w:r>
        <w:rPr>
          <w:spacing w:val="5"/>
          <w:u w:val="single" w:color="auto"/>
        </w:rPr>
        <w:t>(产品名称2)</w:t>
      </w:r>
      <w:r>
        <w:rPr>
          <w:spacing w:val="5"/>
        </w:rPr>
        <w:t xml:space="preserve"> ,生产厂为</w:t>
      </w:r>
      <w:r>
        <w:rPr>
          <w:spacing w:val="-59"/>
          <w:u w:val="single" w:color="auto"/>
        </w:rPr>
        <w:t xml:space="preserve"> </w:t>
      </w:r>
      <w:r>
        <w:rPr>
          <w:spacing w:val="5"/>
          <w:u w:val="single" w:color="auto"/>
        </w:rPr>
        <w:t>(厂名)</w:t>
      </w:r>
      <w:r>
        <w:rPr>
          <w:spacing w:val="5"/>
        </w:rPr>
        <w:t xml:space="preserve"> ,厂址为</w:t>
      </w:r>
      <w:r>
        <w:rPr>
          <w:spacing w:val="-39"/>
          <w:u w:val="single" w:color="auto"/>
        </w:rPr>
        <w:t xml:space="preserve"> </w:t>
      </w:r>
      <w:r>
        <w:rPr>
          <w:spacing w:val="5"/>
          <w:u w:val="single" w:color="auto"/>
        </w:rPr>
        <w:t>(生产厂</w:t>
      </w:r>
      <w:r>
        <w:rPr>
          <w:spacing w:val="4"/>
          <w:u w:val="single" w:color="auto"/>
        </w:rPr>
        <w:t>址)</w:t>
      </w:r>
      <w:r>
        <w:rPr>
          <w:spacing w:val="4"/>
        </w:rPr>
        <w:t>。</w:t>
      </w:r>
    </w:p>
    <w:p w14:paraId="31EB04A5">
      <w:pPr>
        <w:spacing w:before="119" w:line="29" w:lineRule="exact"/>
        <w:ind w:left="10"/>
        <w:rPr>
          <w:rFonts w:ascii="宋体" w:hAnsi="宋体" w:eastAsia="宋体" w:cs="宋体"/>
          <w:sz w:val="7"/>
          <w:szCs w:val="7"/>
        </w:rPr>
      </w:pPr>
      <w:r>
        <w:rPr>
          <w:rFonts w:ascii="宋体" w:hAnsi="宋体" w:eastAsia="宋体" w:cs="宋体"/>
          <w:sz w:val="7"/>
          <w:szCs w:val="7"/>
        </w:rPr>
        <w:t>.</w:t>
      </w:r>
    </w:p>
    <w:p w14:paraId="3B57FBC9">
      <w:pPr>
        <w:pStyle w:val="18"/>
        <w:spacing w:before="168" w:line="258" w:lineRule="auto"/>
        <w:ind w:left="10" w:right="82" w:firstLine="409"/>
        <w:jc w:val="both"/>
      </w:pPr>
      <w:r>
        <w:rPr>
          <w:spacing w:val="3"/>
        </w:rPr>
        <w:t>本公司(单位)承诺，所提供的符合本国产品标准的产品成本</w:t>
      </w:r>
      <w:r>
        <w:rPr>
          <w:spacing w:val="2"/>
        </w:rPr>
        <w:t>之和占本公司(单位)</w:t>
      </w:r>
      <w:r>
        <w:t xml:space="preserve"> </w:t>
      </w:r>
      <w:r>
        <w:rPr>
          <w:spacing w:val="-5"/>
        </w:rPr>
        <w:t>提供的全部产品成本之和的比例达到80%以上，并对上述声明和承诺内容的真实性负</w:t>
      </w:r>
      <w:r>
        <w:rPr>
          <w:spacing w:val="-6"/>
        </w:rPr>
        <w:t>责。</w:t>
      </w:r>
      <w:r>
        <w:t xml:space="preserve"> </w:t>
      </w:r>
      <w:r>
        <w:rPr>
          <w:spacing w:val="-12"/>
        </w:rPr>
        <w:t>如有虚假，愿承担相应法律责任。</w:t>
      </w:r>
    </w:p>
    <w:p w14:paraId="00A9E22B">
      <w:pPr>
        <w:pStyle w:val="18"/>
        <w:spacing w:before="71" w:line="258" w:lineRule="auto"/>
        <w:ind w:left="10" w:right="54" w:firstLine="409"/>
        <w:jc w:val="right"/>
        <w:rPr>
          <w:spacing w:val="-2"/>
        </w:rPr>
      </w:pPr>
      <w:r>
        <w:rPr>
          <w:spacing w:val="-2"/>
        </w:rPr>
        <w:t>公司(单位)名称(盖章):</w:t>
      </w:r>
    </w:p>
    <w:p w14:paraId="29DAB90A">
      <w:pPr>
        <w:pStyle w:val="18"/>
        <w:spacing w:before="71" w:line="258" w:lineRule="auto"/>
        <w:ind w:left="10" w:right="54" w:firstLine="409"/>
        <w:jc w:val="right"/>
        <w:rPr>
          <w:spacing w:val="-2"/>
        </w:rPr>
      </w:pPr>
      <w:r>
        <w:rPr>
          <w:spacing w:val="-2"/>
        </w:rPr>
        <w:t>日期：  年 月 日</w:t>
      </w:r>
    </w:p>
    <w:p w14:paraId="2D23030A">
      <w:pPr>
        <w:spacing w:line="268" w:lineRule="auto"/>
        <w:rPr>
          <w:rFonts w:ascii="Arial"/>
          <w:sz w:val="21"/>
        </w:rPr>
      </w:pPr>
      <w:r>
        <w:drawing>
          <wp:anchor distT="0" distB="0" distL="0" distR="0" simplePos="0" relativeHeight="251659264" behindDoc="0" locked="0" layoutInCell="1" allowOverlap="1">
            <wp:simplePos x="0" y="0"/>
            <wp:positionH relativeFrom="column">
              <wp:posOffset>0</wp:posOffset>
            </wp:positionH>
            <wp:positionV relativeFrom="paragraph">
              <wp:posOffset>154305</wp:posOffset>
            </wp:positionV>
            <wp:extent cx="1212850" cy="6350"/>
            <wp:effectExtent l="0" t="0" r="0" b="0"/>
            <wp:wrapNone/>
            <wp:docPr id="24" name="IM 2"/>
            <wp:cNvGraphicFramePr/>
            <a:graphic xmlns:a="http://schemas.openxmlformats.org/drawingml/2006/main">
              <a:graphicData uri="http://schemas.openxmlformats.org/drawingml/2006/picture">
                <pic:pic xmlns:pic="http://schemas.openxmlformats.org/drawingml/2006/picture">
                  <pic:nvPicPr>
                    <pic:cNvPr id="24" name="IM 2"/>
                    <pic:cNvPicPr/>
                  </pic:nvPicPr>
                  <pic:blipFill>
                    <a:blip r:embed="rId33"/>
                    <a:stretch>
                      <a:fillRect/>
                    </a:stretch>
                  </pic:blipFill>
                  <pic:spPr>
                    <a:xfrm>
                      <a:off x="0" y="0"/>
                      <a:ext cx="1212813" cy="6350"/>
                    </a:xfrm>
                    <a:prstGeom prst="rect">
                      <a:avLst/>
                    </a:prstGeom>
                  </pic:spPr>
                </pic:pic>
              </a:graphicData>
            </a:graphic>
          </wp:anchor>
        </w:drawing>
      </w:r>
    </w:p>
    <w:p w14:paraId="5EA450D0">
      <w:pPr>
        <w:pStyle w:val="18"/>
        <w:spacing w:before="71" w:line="258" w:lineRule="auto"/>
        <w:ind w:left="10" w:right="54" w:firstLine="409"/>
        <w:jc w:val="both"/>
        <w:rPr>
          <w:spacing w:val="-1"/>
        </w:rPr>
      </w:pPr>
      <w:r>
        <w:rPr>
          <w:spacing w:val="-1"/>
        </w:rPr>
        <w:t>1.产品如有型号，请在“产品名称”栏一并填写。</w:t>
      </w:r>
    </w:p>
    <w:p w14:paraId="1E0EB634">
      <w:pPr>
        <w:pStyle w:val="18"/>
        <w:spacing w:before="71" w:line="258" w:lineRule="auto"/>
        <w:ind w:left="10" w:right="54" w:firstLine="409"/>
        <w:jc w:val="both"/>
        <w:rPr>
          <w:rFonts w:hint="eastAsia"/>
          <w:color w:val="auto"/>
          <w:sz w:val="32"/>
          <w:szCs w:val="32"/>
          <w:highlight w:val="none"/>
          <w:lang w:val="en-US" w:eastAsia="zh-CN"/>
        </w:rPr>
      </w:pPr>
      <w:r>
        <w:rPr>
          <w:spacing w:val="-1"/>
        </w:rPr>
        <w:t>2.生产厂名与厂址应与生产厂营业执照载明的相关信息保持一致。</w:t>
      </w:r>
      <w:r>
        <w:rPr>
          <w:rFonts w:hint="eastAsia"/>
          <w:color w:val="auto"/>
          <w:sz w:val="32"/>
          <w:szCs w:val="32"/>
          <w:highlight w:val="none"/>
          <w:lang w:val="en-US" w:eastAsia="zh-CN"/>
        </w:rPr>
        <w:br w:type="page"/>
      </w:r>
    </w:p>
    <w:p w14:paraId="3D3A34D4">
      <w:pPr>
        <w:pStyle w:val="18"/>
        <w:rPr>
          <w:rFonts w:hint="eastAsia"/>
          <w:lang w:val="en-US" w:eastAsia="zh-CN"/>
        </w:rPr>
      </w:pPr>
    </w:p>
    <w:p w14:paraId="62C81E09">
      <w:pPr>
        <w:pStyle w:val="18"/>
        <w:rPr>
          <w:rFonts w:hint="eastAsia"/>
          <w:lang w:val="en-US" w:eastAsia="zh-CN"/>
        </w:rPr>
      </w:pPr>
    </w:p>
    <w:p w14:paraId="2E6CE2F7">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十八、项目实施及售后服务方案</w:t>
      </w:r>
    </w:p>
    <w:p w14:paraId="69D503B1">
      <w:pPr>
        <w:keepLines w:val="0"/>
        <w:pageBreakBefore w:val="0"/>
        <w:kinsoku/>
        <w:overflowPunct/>
        <w:bidi w:val="0"/>
        <w:spacing w:line="360" w:lineRule="auto"/>
        <w:rPr>
          <w:rFonts w:hint="eastAsia" w:hAnsi="宋体"/>
          <w:b/>
          <w:color w:val="auto"/>
          <w:highlight w:val="none"/>
        </w:rPr>
      </w:pPr>
    </w:p>
    <w:p w14:paraId="1C90B619">
      <w:pPr>
        <w:keepLines w:val="0"/>
        <w:pageBreakBefore w:val="0"/>
        <w:kinsoku/>
        <w:overflowPunct/>
        <w:bidi w:val="0"/>
        <w:spacing w:line="360" w:lineRule="auto"/>
        <w:rPr>
          <w:rFonts w:hint="default" w:hAnsi="宋体" w:eastAsia="宋体"/>
          <w:b/>
          <w:color w:val="auto"/>
          <w:highlight w:val="none"/>
          <w:lang w:val="en-US" w:eastAsia="zh-CN"/>
        </w:rPr>
      </w:pPr>
      <w:r>
        <w:rPr>
          <w:rFonts w:hint="eastAsia" w:hAnsi="宋体"/>
          <w:b/>
          <w:color w:val="auto"/>
          <w:highlight w:val="none"/>
        </w:rPr>
        <w:t>项目名称：   招标编号：</w:t>
      </w:r>
      <w:r>
        <w:rPr>
          <w:rFonts w:hint="eastAsia" w:hAnsi="宋体"/>
          <w:b/>
          <w:color w:val="auto"/>
          <w:highlight w:val="none"/>
          <w:lang w:val="en-US" w:eastAsia="zh-CN"/>
        </w:rPr>
        <w:t xml:space="preserve">                                  </w:t>
      </w:r>
    </w:p>
    <w:p w14:paraId="57A706FA">
      <w:pPr>
        <w:pStyle w:val="18"/>
        <w:keepLines w:val="0"/>
        <w:pageBreakBefore w:val="0"/>
        <w:kinsoku/>
        <w:overflowPunct/>
        <w:bidi w:val="0"/>
        <w:spacing w:line="360" w:lineRule="auto"/>
        <w:ind w:firstLine="422" w:firstLineChars="200"/>
        <w:rPr>
          <w:rFonts w:hAnsi="宋体" w:cs="宋体"/>
          <w:b/>
          <w:bCs/>
          <w:color w:val="auto"/>
          <w:highlight w:val="none"/>
        </w:rPr>
      </w:pPr>
    </w:p>
    <w:p w14:paraId="0B6DD030">
      <w:pPr>
        <w:pStyle w:val="18"/>
        <w:keepLines w:val="0"/>
        <w:pageBreakBefore w:val="0"/>
        <w:kinsoku/>
        <w:overflowPunct/>
        <w:bidi w:val="0"/>
        <w:spacing w:line="360" w:lineRule="auto"/>
        <w:ind w:firstLine="422" w:firstLineChars="200"/>
        <w:rPr>
          <w:rFonts w:hAnsi="宋体" w:cs="宋体"/>
          <w:b/>
          <w:bCs/>
          <w:color w:val="auto"/>
          <w:highlight w:val="none"/>
        </w:rPr>
      </w:pPr>
    </w:p>
    <w:p w14:paraId="66D9BDFA">
      <w:pPr>
        <w:keepLines w:val="0"/>
        <w:pageBreakBefore w:val="0"/>
        <w:kinsoku/>
        <w:overflowPunct/>
        <w:bidi w:val="0"/>
        <w:spacing w:line="360" w:lineRule="auto"/>
        <w:ind w:firstLine="723" w:firstLineChars="200"/>
        <w:jc w:val="center"/>
        <w:rPr>
          <w:rFonts w:hint="eastAsia" w:hAnsi="宋体" w:cs="宋体"/>
          <w:b/>
          <w:bCs/>
          <w:color w:val="auto"/>
          <w:sz w:val="36"/>
          <w:szCs w:val="36"/>
          <w:highlight w:val="none"/>
        </w:rPr>
      </w:pPr>
      <w:r>
        <w:rPr>
          <w:rFonts w:hint="eastAsia" w:hAnsi="宋体" w:cs="宋体"/>
          <w:b/>
          <w:bCs/>
          <w:color w:val="auto"/>
          <w:sz w:val="36"/>
          <w:szCs w:val="36"/>
          <w:highlight w:val="none"/>
        </w:rPr>
        <w:t>（格式自拟）</w:t>
      </w:r>
    </w:p>
    <w:p w14:paraId="77431206">
      <w:pPr>
        <w:pStyle w:val="18"/>
        <w:keepLines w:val="0"/>
        <w:pageBreakBefore w:val="0"/>
        <w:kinsoku/>
        <w:overflowPunct/>
        <w:bidi w:val="0"/>
        <w:spacing w:line="360" w:lineRule="auto"/>
        <w:ind w:firstLine="422" w:firstLineChars="200"/>
        <w:rPr>
          <w:rFonts w:hAnsi="宋体" w:cs="宋体"/>
          <w:b/>
          <w:bCs/>
          <w:color w:val="auto"/>
          <w:highlight w:val="none"/>
        </w:rPr>
      </w:pPr>
    </w:p>
    <w:p w14:paraId="609FC9A6">
      <w:pPr>
        <w:pStyle w:val="18"/>
        <w:keepLines w:val="0"/>
        <w:pageBreakBefore w:val="0"/>
        <w:kinsoku/>
        <w:overflowPunct/>
        <w:bidi w:val="0"/>
        <w:spacing w:line="360" w:lineRule="auto"/>
        <w:ind w:firstLine="422" w:firstLineChars="200"/>
        <w:rPr>
          <w:rFonts w:hAnsi="宋体" w:cs="宋体"/>
          <w:b/>
          <w:bCs/>
          <w:color w:val="auto"/>
          <w:highlight w:val="none"/>
        </w:rPr>
      </w:pPr>
    </w:p>
    <w:p w14:paraId="1CEF61FD">
      <w:pPr>
        <w:pStyle w:val="18"/>
        <w:keepLines w:val="0"/>
        <w:pageBreakBefore w:val="0"/>
        <w:kinsoku/>
        <w:overflowPunct/>
        <w:bidi w:val="0"/>
        <w:spacing w:line="360" w:lineRule="auto"/>
        <w:ind w:firstLine="422" w:firstLineChars="200"/>
        <w:rPr>
          <w:rFonts w:hAnsi="宋体" w:cs="宋体"/>
          <w:b/>
          <w:bCs/>
          <w:color w:val="auto"/>
          <w:highlight w:val="none"/>
        </w:rPr>
      </w:pPr>
    </w:p>
    <w:p w14:paraId="022BC056">
      <w:pPr>
        <w:pStyle w:val="18"/>
        <w:keepLines w:val="0"/>
        <w:pageBreakBefore w:val="0"/>
        <w:kinsoku/>
        <w:overflowPunct/>
        <w:bidi w:val="0"/>
        <w:spacing w:line="360" w:lineRule="auto"/>
        <w:ind w:firstLine="422" w:firstLineChars="200"/>
        <w:rPr>
          <w:rFonts w:hAnsi="宋体" w:cs="宋体"/>
          <w:b/>
          <w:bCs/>
          <w:color w:val="auto"/>
          <w:highlight w:val="none"/>
        </w:rPr>
      </w:pPr>
    </w:p>
    <w:p w14:paraId="1F508A06">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4C824271">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1AEE8FFB">
      <w:pPr>
        <w:keepLines w:val="0"/>
        <w:pageBreakBefore w:val="0"/>
        <w:kinsoku/>
        <w:overflowPunct/>
        <w:bidi w:val="0"/>
        <w:spacing w:line="360" w:lineRule="auto"/>
        <w:rPr>
          <w:rFonts w:hint="eastAsia" w:hAnsi="宋体" w:cs="宋体"/>
          <w:color w:val="auto"/>
          <w:highlight w:val="none"/>
        </w:rPr>
        <w:sectPr>
          <w:headerReference r:id="rId27" w:type="default"/>
          <w:footerReference r:id="rId28" w:type="default"/>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hAnsi="宋体" w:cs="宋体"/>
          <w:color w:val="auto"/>
          <w:highlight w:val="none"/>
        </w:rPr>
        <w:t>日期：</w:t>
      </w:r>
    </w:p>
    <w:p w14:paraId="1FEE763F">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十九、投标保证金证明材料</w:t>
      </w:r>
      <w:bookmarkStart w:id="205" w:name="_GoBack"/>
      <w:bookmarkEnd w:id="205"/>
    </w:p>
    <w:p w14:paraId="3F7A1C15">
      <w:pPr>
        <w:keepLines w:val="0"/>
        <w:pageBreakBefore w:val="0"/>
        <w:kinsoku/>
        <w:overflowPunct/>
        <w:bidi w:val="0"/>
        <w:snapToGrid w:val="0"/>
        <w:spacing w:line="360" w:lineRule="auto"/>
        <w:rPr>
          <w:rFonts w:hAnsi="宋体"/>
          <w:b/>
          <w:color w:val="auto"/>
          <w:highlight w:val="none"/>
        </w:rPr>
      </w:pPr>
    </w:p>
    <w:bookmarkEnd w:id="148"/>
    <w:p w14:paraId="212B93AA">
      <w:pPr>
        <w:rPr>
          <w:rFonts w:hint="eastAsia"/>
          <w:color w:val="auto"/>
          <w:sz w:val="32"/>
          <w:szCs w:val="32"/>
          <w:highlight w:val="none"/>
          <w:lang w:val="en-US" w:eastAsia="zh-CN"/>
        </w:rPr>
      </w:pPr>
      <w:bookmarkStart w:id="149" w:name="_Toc1392"/>
      <w:bookmarkStart w:id="150" w:name="_Toc14680"/>
      <w:bookmarkStart w:id="151" w:name="_Toc10194"/>
      <w:r>
        <w:rPr>
          <w:rFonts w:hint="eastAsia"/>
          <w:color w:val="auto"/>
          <w:sz w:val="32"/>
          <w:szCs w:val="32"/>
          <w:highlight w:val="none"/>
          <w:lang w:val="en-US" w:eastAsia="zh-CN"/>
        </w:rPr>
        <w:br w:type="page"/>
      </w:r>
    </w:p>
    <w:p w14:paraId="58682895">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二十、其他材料（格式自拟）</w:t>
      </w:r>
    </w:p>
    <w:p w14:paraId="4E796A7E">
      <w:pPr>
        <w:keepLines w:val="0"/>
        <w:pageBreakBefore w:val="0"/>
        <w:kinsoku/>
        <w:overflowPunct/>
        <w:bidi w:val="0"/>
        <w:snapToGrid w:val="0"/>
        <w:spacing w:line="360" w:lineRule="auto"/>
        <w:rPr>
          <w:rFonts w:hAnsi="宋体"/>
          <w:b/>
          <w:color w:val="auto"/>
          <w:highlight w:val="none"/>
        </w:rPr>
      </w:pPr>
    </w:p>
    <w:p w14:paraId="5E4A0560">
      <w:pPr>
        <w:keepLines w:val="0"/>
        <w:pageBreakBefore w:val="0"/>
        <w:kinsoku/>
        <w:overflowPunct/>
        <w:bidi w:val="0"/>
        <w:snapToGrid w:val="0"/>
        <w:spacing w:line="360" w:lineRule="auto"/>
        <w:rPr>
          <w:rFonts w:hint="default" w:hAnsi="宋体" w:eastAsia="宋体"/>
          <w:b/>
          <w:color w:val="auto"/>
          <w:highlight w:val="none"/>
          <w:lang w:val="en-US" w:eastAsia="zh-CN"/>
        </w:rPr>
      </w:pPr>
      <w:r>
        <w:rPr>
          <w:rFonts w:hint="eastAsia" w:hAnsi="宋体"/>
          <w:b/>
          <w:color w:val="auto"/>
          <w:highlight w:val="none"/>
        </w:rPr>
        <w:t>项目名称：   招标编号：</w:t>
      </w:r>
      <w:r>
        <w:rPr>
          <w:rFonts w:hint="eastAsia" w:hAnsi="宋体"/>
          <w:b/>
          <w:color w:val="auto"/>
          <w:highlight w:val="none"/>
          <w:lang w:val="en-US" w:eastAsia="zh-CN"/>
        </w:rPr>
        <w:t xml:space="preserve">                             </w:t>
      </w:r>
    </w:p>
    <w:p w14:paraId="7CD99273">
      <w:pPr>
        <w:pStyle w:val="18"/>
        <w:keepLines w:val="0"/>
        <w:pageBreakBefore w:val="0"/>
        <w:kinsoku/>
        <w:overflowPunct/>
        <w:bidi w:val="0"/>
        <w:spacing w:line="360" w:lineRule="auto"/>
        <w:ind w:firstLine="422" w:firstLineChars="200"/>
        <w:rPr>
          <w:rFonts w:hAnsi="宋体" w:cs="宋体"/>
          <w:b/>
          <w:bCs/>
          <w:color w:val="auto"/>
          <w:highlight w:val="none"/>
        </w:rPr>
      </w:pPr>
    </w:p>
    <w:p w14:paraId="0B77AC97">
      <w:pPr>
        <w:pStyle w:val="18"/>
        <w:keepLines w:val="0"/>
        <w:pageBreakBefore w:val="0"/>
        <w:kinsoku/>
        <w:overflowPunct/>
        <w:bidi w:val="0"/>
        <w:spacing w:line="360" w:lineRule="auto"/>
        <w:ind w:firstLine="422" w:firstLineChars="200"/>
        <w:rPr>
          <w:rFonts w:hAnsi="宋体" w:cs="宋体"/>
          <w:b/>
          <w:bCs/>
          <w:color w:val="auto"/>
          <w:highlight w:val="none"/>
        </w:rPr>
      </w:pPr>
    </w:p>
    <w:p w14:paraId="4D6ABB19">
      <w:pPr>
        <w:pStyle w:val="18"/>
        <w:keepLines w:val="0"/>
        <w:pageBreakBefore w:val="0"/>
        <w:kinsoku/>
        <w:overflowPunct/>
        <w:bidi w:val="0"/>
        <w:spacing w:line="360" w:lineRule="auto"/>
        <w:ind w:firstLine="422" w:firstLineChars="200"/>
        <w:rPr>
          <w:rFonts w:hAnsi="宋体" w:cs="宋体"/>
          <w:b/>
          <w:bCs/>
          <w:color w:val="auto"/>
          <w:highlight w:val="none"/>
        </w:rPr>
      </w:pPr>
    </w:p>
    <w:p w14:paraId="7A408C8D">
      <w:pPr>
        <w:pStyle w:val="18"/>
        <w:keepLines w:val="0"/>
        <w:pageBreakBefore w:val="0"/>
        <w:kinsoku/>
        <w:overflowPunct/>
        <w:bidi w:val="0"/>
        <w:spacing w:line="360" w:lineRule="auto"/>
        <w:ind w:firstLine="422" w:firstLineChars="200"/>
        <w:rPr>
          <w:rFonts w:hAnsi="宋体" w:cs="宋体"/>
          <w:b/>
          <w:bCs/>
          <w:color w:val="auto"/>
          <w:highlight w:val="none"/>
        </w:rPr>
      </w:pPr>
    </w:p>
    <w:p w14:paraId="386C84C9">
      <w:pPr>
        <w:keepLines w:val="0"/>
        <w:pageBreakBefore w:val="0"/>
        <w:kinsoku/>
        <w:overflowPunct/>
        <w:bidi w:val="0"/>
        <w:spacing w:after="60" w:line="360" w:lineRule="auto"/>
        <w:jc w:val="center"/>
        <w:rPr>
          <w:rFonts w:hAnsi="宋体"/>
          <w:b/>
          <w:color w:val="auto"/>
          <w:sz w:val="32"/>
          <w:szCs w:val="32"/>
          <w:highlight w:val="none"/>
        </w:rPr>
      </w:pPr>
      <w:r>
        <w:rPr>
          <w:rFonts w:hint="eastAsia" w:hAnsi="宋体"/>
          <w:b/>
          <w:color w:val="auto"/>
          <w:sz w:val="32"/>
          <w:szCs w:val="32"/>
          <w:highlight w:val="none"/>
        </w:rPr>
        <w:t>（格式自拟）</w:t>
      </w:r>
    </w:p>
    <w:p w14:paraId="7E497147">
      <w:pPr>
        <w:pStyle w:val="18"/>
        <w:keepLines w:val="0"/>
        <w:pageBreakBefore w:val="0"/>
        <w:kinsoku/>
        <w:overflowPunct/>
        <w:bidi w:val="0"/>
        <w:spacing w:line="360" w:lineRule="auto"/>
        <w:ind w:firstLine="422" w:firstLineChars="200"/>
        <w:rPr>
          <w:rFonts w:hAnsi="宋体" w:cs="宋体"/>
          <w:b/>
          <w:bCs/>
          <w:color w:val="auto"/>
          <w:highlight w:val="none"/>
        </w:rPr>
      </w:pPr>
    </w:p>
    <w:p w14:paraId="7E4F02F7">
      <w:pPr>
        <w:pStyle w:val="18"/>
        <w:keepLines w:val="0"/>
        <w:pageBreakBefore w:val="0"/>
        <w:kinsoku/>
        <w:overflowPunct/>
        <w:bidi w:val="0"/>
        <w:spacing w:line="360" w:lineRule="auto"/>
        <w:ind w:firstLine="420" w:firstLineChars="200"/>
        <w:rPr>
          <w:color w:val="auto"/>
          <w:highlight w:val="none"/>
        </w:rPr>
      </w:pPr>
    </w:p>
    <w:p w14:paraId="40F2B3AB">
      <w:pPr>
        <w:pStyle w:val="18"/>
        <w:keepLines w:val="0"/>
        <w:pageBreakBefore w:val="0"/>
        <w:kinsoku/>
        <w:overflowPunct/>
        <w:bidi w:val="0"/>
        <w:spacing w:line="360" w:lineRule="auto"/>
        <w:ind w:firstLine="422" w:firstLineChars="200"/>
        <w:rPr>
          <w:rFonts w:hAnsi="宋体" w:cs="宋体"/>
          <w:b/>
          <w:bCs/>
          <w:color w:val="auto"/>
          <w:highlight w:val="none"/>
        </w:rPr>
      </w:pPr>
    </w:p>
    <w:p w14:paraId="2C03C8CD">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1A396380">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0EDF170D">
      <w:pPr>
        <w:rPr>
          <w:rFonts w:hint="eastAsia" w:ascii="Cambria" w:hAnsi="Cambria" w:eastAsia="宋体" w:cs="Times New Roman"/>
          <w:b/>
          <w:bCs/>
          <w:color w:val="auto"/>
          <w:kern w:val="32"/>
          <w:sz w:val="32"/>
          <w:szCs w:val="32"/>
          <w:highlight w:val="none"/>
          <w:lang w:val="en-US" w:eastAsia="zh-CN" w:bidi="ar-SA"/>
        </w:rPr>
      </w:pPr>
      <w:r>
        <w:rPr>
          <w:rFonts w:hint="eastAsia" w:hAnsi="宋体" w:cs="宋体"/>
          <w:color w:val="auto"/>
          <w:highlight w:val="none"/>
        </w:rPr>
        <w:t>日期：</w:t>
      </w:r>
      <w:r>
        <w:rPr>
          <w:rFonts w:hint="eastAsia" w:ascii="Cambria" w:hAnsi="Cambria" w:eastAsia="宋体" w:cs="Times New Roman"/>
          <w:b/>
          <w:bCs/>
          <w:color w:val="auto"/>
          <w:kern w:val="32"/>
          <w:sz w:val="32"/>
          <w:szCs w:val="32"/>
          <w:highlight w:val="none"/>
          <w:lang w:val="en-US" w:eastAsia="zh-CN" w:bidi="ar-SA"/>
        </w:rPr>
        <w:br w:type="page"/>
      </w:r>
    </w:p>
    <w:p w14:paraId="590062B5">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r>
        <w:rPr>
          <w:rFonts w:hint="eastAsia" w:ascii="Cambria" w:hAnsi="Cambria" w:eastAsia="宋体" w:cs="Times New Roman"/>
          <w:b/>
          <w:bCs/>
          <w:color w:val="auto"/>
          <w:kern w:val="32"/>
          <w:sz w:val="32"/>
          <w:szCs w:val="32"/>
          <w:highlight w:val="none"/>
          <w:lang w:val="en-US" w:eastAsia="zh-CN" w:bidi="ar-SA"/>
        </w:rPr>
        <w:t>第四章、投标人和投标产品的资格、资质性及其他类似效力要求</w:t>
      </w:r>
      <w:bookmarkEnd w:id="149"/>
      <w:bookmarkEnd w:id="150"/>
      <w:bookmarkEnd w:id="151"/>
    </w:p>
    <w:p w14:paraId="242059A7">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lang w:eastAsia="zh-CN"/>
        </w:rPr>
        <w:t>一、</w:t>
      </w:r>
      <w:r>
        <w:rPr>
          <w:rFonts w:hint="eastAsia" w:hAnsi="宋体" w:cs="宋体"/>
          <w:b/>
          <w:bCs/>
          <w:color w:val="auto"/>
          <w:highlight w:val="none"/>
        </w:rPr>
        <w:t>投标人资格、资质性及其他类似效力要求</w:t>
      </w:r>
    </w:p>
    <w:p w14:paraId="48AD14F8">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（一）投标人应具备《中华人民共和国政府采购法》第二十二条规定的下列条件：</w:t>
      </w:r>
    </w:p>
    <w:p w14:paraId="2727A02A">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1、</w:t>
      </w:r>
      <w:r>
        <w:rPr>
          <w:rFonts w:hint="eastAsia" w:hAnsi="宋体" w:cs="宋体"/>
          <w:color w:val="auto"/>
          <w:highlight w:val="none"/>
        </w:rPr>
        <w:t>具有独立承担民事责任的能力；</w:t>
      </w:r>
    </w:p>
    <w:p w14:paraId="04F62FB3">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2、</w:t>
      </w:r>
      <w:r>
        <w:rPr>
          <w:rFonts w:hint="eastAsia" w:hAnsi="宋体" w:cs="宋体"/>
          <w:color w:val="auto"/>
          <w:highlight w:val="none"/>
        </w:rPr>
        <w:t>具有良好的商业信誉和健全的财务会计制度；</w:t>
      </w:r>
    </w:p>
    <w:p w14:paraId="32ECA852">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3、</w:t>
      </w:r>
      <w:r>
        <w:rPr>
          <w:rFonts w:hint="eastAsia" w:hAnsi="宋体" w:cs="宋体"/>
          <w:color w:val="auto"/>
          <w:highlight w:val="none"/>
        </w:rPr>
        <w:t>具有履行合同所必需的设备和专业技术能力；</w:t>
      </w:r>
    </w:p>
    <w:p w14:paraId="475DF160">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4、</w:t>
      </w:r>
      <w:r>
        <w:rPr>
          <w:rFonts w:hint="eastAsia" w:hAnsi="宋体" w:cs="宋体"/>
          <w:color w:val="auto"/>
          <w:highlight w:val="none"/>
        </w:rPr>
        <w:t>有依法缴纳税收和社会保障资金的良好记录；</w:t>
      </w:r>
    </w:p>
    <w:p w14:paraId="5BA4566A">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参加政府采购活动前三年内，在经营活动中没有重大违法记录；</w:t>
      </w:r>
    </w:p>
    <w:p w14:paraId="265AC1E9">
      <w:pPr>
        <w:keepLines w:val="0"/>
        <w:pageBreakBefore w:val="0"/>
        <w:kinsoku/>
        <w:overflowPunct/>
        <w:bidi w:val="0"/>
        <w:spacing w:line="360" w:lineRule="auto"/>
        <w:ind w:firstLine="480" w:firstLineChars="200"/>
        <w:rPr>
          <w:rFonts w:hAnsi="宋体" w:cs="宋体"/>
          <w:color w:val="auto"/>
          <w:highlight w:val="none"/>
        </w:rPr>
      </w:pPr>
      <w:r>
        <w:rPr>
          <w:rFonts w:hint="eastAsia" w:hAnsi="宋体" w:cs="宋体"/>
          <w:color w:val="auto"/>
          <w:highlight w:val="none"/>
          <w:lang w:val="en-US" w:eastAsia="zh-CN"/>
        </w:rPr>
        <w:t>6、</w:t>
      </w:r>
      <w:r>
        <w:rPr>
          <w:rFonts w:hint="eastAsia" w:hAnsi="宋体" w:cs="宋体"/>
          <w:color w:val="auto"/>
          <w:highlight w:val="none"/>
        </w:rPr>
        <w:t>法律、行政法规规定的其他条件。</w:t>
      </w:r>
    </w:p>
    <w:p w14:paraId="54D763A7">
      <w:pPr>
        <w:keepLines w:val="0"/>
        <w:pageBreakBefore w:val="0"/>
        <w:kinsoku/>
        <w:overflowPunct/>
        <w:bidi w:val="0"/>
        <w:spacing w:line="360" w:lineRule="auto"/>
        <w:rPr>
          <w:rFonts w:hint="eastAsia" w:hAnsi="宋体" w:eastAsia="宋体" w:cs="宋体"/>
          <w:b w:val="0"/>
          <w:bCs w:val="0"/>
          <w:color w:val="auto"/>
          <w:highlight w:val="none"/>
          <w:lang w:val="en-US" w:eastAsia="zh-CN"/>
        </w:rPr>
      </w:pPr>
      <w:r>
        <w:rPr>
          <w:rFonts w:hint="eastAsia" w:hAnsi="宋体" w:cs="宋体"/>
          <w:b/>
          <w:bCs/>
          <w:color w:val="auto"/>
          <w:highlight w:val="none"/>
        </w:rPr>
        <w:t>（二） 根据采购项目提出的特殊条件：</w:t>
      </w:r>
      <w:r>
        <w:rPr>
          <w:rFonts w:hint="eastAsia" w:hAnsi="宋体" w:cs="宋体"/>
          <w:b w:val="0"/>
          <w:bCs w:val="0"/>
          <w:color w:val="auto"/>
          <w:highlight w:val="none"/>
          <w:lang w:val="en-US" w:eastAsia="zh-CN"/>
        </w:rPr>
        <w:t>无。</w:t>
      </w:r>
    </w:p>
    <w:p w14:paraId="12C1C65F">
      <w:pPr>
        <w:pStyle w:val="111"/>
        <w:keepLines w:val="0"/>
        <w:pageBreakBefore w:val="0"/>
        <w:kinsoku/>
        <w:overflowPunct/>
        <w:bidi w:val="0"/>
        <w:spacing w:line="360" w:lineRule="auto"/>
        <w:ind w:left="0" w:leftChars="0" w:firstLine="0" w:firstLineChars="0"/>
        <w:rPr>
          <w:rFonts w:hint="eastAsia"/>
          <w:b/>
          <w:bCs w:val="0"/>
          <w:lang w:val="en-US" w:eastAsia="zh-CN"/>
        </w:rPr>
      </w:pPr>
      <w:r>
        <w:rPr>
          <w:rFonts w:hint="eastAsia"/>
          <w:b/>
          <w:bCs w:val="0"/>
          <w:lang w:val="en-US" w:eastAsia="zh-CN"/>
        </w:rPr>
        <w:t>（三）</w:t>
      </w:r>
      <w:r>
        <w:rPr>
          <w:rFonts w:hint="eastAsia" w:ascii="宋体" w:hAnsi="宋体" w:eastAsia="宋体" w:cs="仿宋"/>
          <w:b/>
          <w:bCs w:val="0"/>
          <w:color w:val="auto"/>
          <w:kern w:val="0"/>
          <w:sz w:val="24"/>
          <w:highlight w:val="none"/>
          <w:lang w:val="en-US" w:eastAsia="zh-CN" w:bidi="ar-SA"/>
        </w:rPr>
        <w:t>落实政府采购政策需满足的资格要求：</w:t>
      </w:r>
    </w:p>
    <w:p w14:paraId="74EF9658">
      <w:pPr>
        <w:pStyle w:val="111"/>
        <w:keepLines w:val="0"/>
        <w:pageBreakBefore w:val="0"/>
        <w:numPr>
          <w:ilvl w:val="0"/>
          <w:numId w:val="0"/>
        </w:numPr>
        <w:kinsoku/>
        <w:overflowPunct/>
        <w:bidi w:val="0"/>
        <w:spacing w:line="360" w:lineRule="auto"/>
        <w:ind w:firstLine="480" w:firstLineChars="200"/>
        <w:rPr>
          <w:rFonts w:hint="default" w:eastAsia="宋体"/>
          <w:b w:val="0"/>
          <w:bCs/>
          <w:color w:val="auto"/>
          <w:highlight w:val="none"/>
          <w:lang w:val="en-US" w:eastAsia="zh-CN"/>
        </w:rPr>
      </w:pPr>
      <w:r>
        <w:rPr>
          <w:rFonts w:hint="eastAsia"/>
          <w:b w:val="0"/>
          <w:bCs/>
          <w:color w:val="auto"/>
          <w:highlight w:val="none"/>
          <w:lang w:val="en-US" w:eastAsia="zh-CN"/>
        </w:rPr>
        <w:t>1</w:t>
      </w:r>
      <w:r>
        <w:rPr>
          <w:rFonts w:hint="eastAsia" w:ascii="Times New Roman" w:hAnsi="宋体" w:eastAsia="宋体" w:cs="宋体"/>
          <w:b w:val="0"/>
          <w:bCs w:val="0"/>
          <w:color w:val="auto"/>
          <w:kern w:val="0"/>
          <w:sz w:val="24"/>
          <w:szCs w:val="24"/>
          <w:highlight w:val="none"/>
          <w:lang w:val="en-US" w:eastAsia="zh-CN" w:bidi="ar-SA"/>
        </w:rPr>
        <w:t>、</w:t>
      </w:r>
      <w:r>
        <w:rPr>
          <w:rFonts w:hint="eastAsia"/>
          <w:b w:val="0"/>
          <w:bCs/>
          <w:color w:val="auto"/>
          <w:highlight w:val="none"/>
          <w:lang w:val="en-US" w:eastAsia="zh-CN"/>
        </w:rPr>
        <w:t>本项目专门面向中小企业采购。</w:t>
      </w:r>
    </w:p>
    <w:p w14:paraId="107D7D4E">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w:t>
      </w:r>
      <w:r>
        <w:rPr>
          <w:rFonts w:hint="eastAsia" w:hAnsi="宋体" w:cs="宋体"/>
          <w:b/>
          <w:bCs/>
          <w:color w:val="auto"/>
          <w:highlight w:val="none"/>
          <w:lang w:val="en-US" w:eastAsia="zh-CN"/>
        </w:rPr>
        <w:t>四</w:t>
      </w:r>
      <w:r>
        <w:rPr>
          <w:rFonts w:hint="eastAsia" w:hAnsi="宋体" w:cs="宋体"/>
          <w:b/>
          <w:bCs/>
          <w:color w:val="auto"/>
          <w:highlight w:val="none"/>
        </w:rPr>
        <w:t>）其他类似效力要求：</w:t>
      </w:r>
    </w:p>
    <w:p w14:paraId="24C758B8">
      <w:pPr>
        <w:keepLines w:val="0"/>
        <w:pageBreakBefore w:val="0"/>
        <w:kinsoku/>
        <w:overflowPunct/>
        <w:bidi w:val="0"/>
        <w:spacing w:line="360" w:lineRule="auto"/>
        <w:ind w:firstLine="480" w:firstLineChars="200"/>
        <w:rPr>
          <w:rFonts w:hint="eastAsia" w:hAnsi="宋体" w:cs="宋体"/>
          <w:b/>
          <w:bCs/>
          <w:color w:val="auto"/>
          <w:highlight w:val="none"/>
        </w:rPr>
      </w:pPr>
      <w:r>
        <w:rPr>
          <w:rFonts w:hint="eastAsia" w:hAnsi="宋体" w:cs="宋体"/>
          <w:b w:val="0"/>
          <w:bCs w:val="0"/>
          <w:color w:val="auto"/>
          <w:highlight w:val="none"/>
          <w:lang w:val="en-US" w:eastAsia="zh-CN"/>
        </w:rPr>
        <w:t>1、</w:t>
      </w:r>
      <w:r>
        <w:rPr>
          <w:rFonts w:hint="eastAsia" w:hAnsi="宋体" w:cs="宋体"/>
          <w:b w:val="0"/>
          <w:bCs w:val="0"/>
          <w:color w:val="auto"/>
          <w:highlight w:val="none"/>
        </w:rPr>
        <w:t>投标供应商法定代表人授权参加本次投标活动的合法代表（非独立法人机构提供具有独立承担民事责任的能力的负责人授权参加本次投标活动的合法代表）</w:t>
      </w:r>
      <w:r>
        <w:rPr>
          <w:rFonts w:hint="eastAsia" w:hAnsi="宋体" w:cs="宋体"/>
          <w:b/>
          <w:bCs/>
          <w:color w:val="auto"/>
          <w:highlight w:val="none"/>
        </w:rPr>
        <w:t>。</w:t>
      </w:r>
    </w:p>
    <w:p w14:paraId="5D469E0E">
      <w:pPr>
        <w:keepLines w:val="0"/>
        <w:pageBreakBefore w:val="0"/>
        <w:kinsoku/>
        <w:overflowPunct/>
        <w:bidi w:val="0"/>
        <w:spacing w:line="360" w:lineRule="auto"/>
        <w:ind w:firstLine="480" w:firstLineChars="200"/>
        <w:rPr>
          <w:rFonts w:hint="eastAsia" w:ascii="宋体" w:hAnsi="宋体" w:eastAsia="宋体" w:cs="宋体"/>
          <w:color w:val="auto"/>
          <w:highlight w:val="none"/>
          <w:lang w:val="en-US" w:eastAsia="zh-CN"/>
        </w:rPr>
      </w:pPr>
      <w:r>
        <w:rPr>
          <w:rFonts w:hint="eastAsia" w:hAnsi="宋体" w:cs="宋体"/>
          <w:b w:val="0"/>
          <w:bCs w:val="0"/>
          <w:color w:val="auto"/>
          <w:highlight w:val="none"/>
          <w:lang w:val="en-US" w:eastAsia="zh-CN"/>
        </w:rPr>
        <w:t>2、</w:t>
      </w:r>
      <w:r>
        <w:rPr>
          <w:rFonts w:hint="eastAsia" w:hAnsi="宋体" w:cs="宋体"/>
          <w:color w:val="auto"/>
          <w:highlight w:val="none"/>
        </w:rPr>
        <w:t>本项目不接受联合体投标</w:t>
      </w:r>
      <w:r>
        <w:rPr>
          <w:rFonts w:hint="eastAsia" w:ascii="宋体" w:hAnsi="宋体" w:eastAsia="宋体" w:cs="宋体"/>
          <w:color w:val="auto"/>
          <w:highlight w:val="none"/>
          <w:lang w:val="en-US" w:eastAsia="zh-CN"/>
        </w:rPr>
        <w:t>。</w:t>
      </w:r>
    </w:p>
    <w:p w14:paraId="1C0EFD73">
      <w:pPr>
        <w:keepLines w:val="0"/>
        <w:pageBreakBefore w:val="0"/>
        <w:kinsoku/>
        <w:overflowPunct/>
        <w:bidi w:val="0"/>
        <w:spacing w:line="360" w:lineRule="auto"/>
        <w:ind w:firstLine="482" w:firstLineChars="200"/>
        <w:rPr>
          <w:rFonts w:hint="eastAsia" w:hAnsi="宋体" w:eastAsia="宋体" w:cs="宋体"/>
          <w:b/>
          <w:bCs/>
          <w:color w:val="auto"/>
          <w:highlight w:val="none"/>
          <w:lang w:val="en-US" w:eastAsia="zh-CN"/>
        </w:rPr>
      </w:pPr>
    </w:p>
    <w:p w14:paraId="65CE68A6">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二、投标产品的资格、资质性及其他类似效力要求</w:t>
      </w:r>
    </w:p>
    <w:p w14:paraId="4DA123B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olor w:val="auto"/>
          <w:highlight w:val="none"/>
          <w:lang w:eastAsia="zh-CN"/>
        </w:rPr>
      </w:pPr>
      <w:r>
        <w:rPr>
          <w:rFonts w:hint="eastAsia" w:hAnsi="宋体"/>
          <w:color w:val="auto"/>
          <w:highlight w:val="none"/>
          <w:lang w:eastAsia="zh-CN"/>
        </w:rPr>
        <w:t>无。</w:t>
      </w:r>
    </w:p>
    <w:p w14:paraId="439374CD">
      <w:pPr>
        <w:keepLines w:val="0"/>
        <w:pageBreakBefore w:val="0"/>
        <w:kinsoku/>
        <w:overflowPunct/>
        <w:bidi w:val="0"/>
        <w:spacing w:line="360" w:lineRule="auto"/>
        <w:rPr>
          <w:rFonts w:hint="eastAsia" w:hAnsi="宋体" w:cs="宋体"/>
          <w:b/>
          <w:bCs/>
          <w:color w:val="auto"/>
          <w:sz w:val="21"/>
          <w:szCs w:val="21"/>
          <w:highlight w:val="none"/>
        </w:rPr>
      </w:pPr>
    </w:p>
    <w:p w14:paraId="489B7AE7">
      <w:pPr>
        <w:keepLines w:val="0"/>
        <w:pageBreakBefore w:val="0"/>
        <w:kinsoku/>
        <w:overflowPunct/>
        <w:bidi w:val="0"/>
        <w:spacing w:line="360" w:lineRule="auto"/>
        <w:rPr>
          <w:rFonts w:hAnsi="宋体" w:cs="宋体"/>
          <w:b/>
          <w:bCs/>
          <w:color w:val="auto"/>
          <w:sz w:val="21"/>
          <w:szCs w:val="21"/>
          <w:highlight w:val="none"/>
        </w:rPr>
      </w:pPr>
      <w:r>
        <w:rPr>
          <w:rFonts w:hint="eastAsia" w:hAnsi="宋体" w:cs="宋体"/>
          <w:b/>
          <w:bCs/>
          <w:color w:val="auto"/>
          <w:sz w:val="21"/>
          <w:szCs w:val="21"/>
          <w:highlight w:val="none"/>
        </w:rPr>
        <w:t>注：</w:t>
      </w:r>
    </w:p>
    <w:p w14:paraId="4C552DB8">
      <w:pPr>
        <w:keepLines w:val="0"/>
        <w:pageBreakBefore w:val="0"/>
        <w:kinsoku/>
        <w:overflowPunct/>
        <w:bidi w:val="0"/>
        <w:spacing w:line="360" w:lineRule="auto"/>
        <w:rPr>
          <w:rFonts w:hAnsi="宋体" w:cs="宋体"/>
          <w:b/>
          <w:bCs/>
          <w:color w:val="auto"/>
          <w:sz w:val="21"/>
          <w:szCs w:val="21"/>
          <w:highlight w:val="none"/>
        </w:rPr>
      </w:pPr>
      <w:r>
        <w:rPr>
          <w:rFonts w:hint="eastAsia" w:hAnsi="宋体" w:cs="宋体"/>
          <w:b/>
          <w:bCs/>
          <w:color w:val="auto"/>
          <w:sz w:val="21"/>
          <w:szCs w:val="21"/>
          <w:highlight w:val="none"/>
        </w:rPr>
        <w:t>1、重大违法记录中的较大数额罚款的具体金额标准，根据财政部关于《中华人民共和国政府采购法实施条例》第十九条第一款“较大数额罚款”具体适用问题的意见（财库〔2022〕3号）的规定，认定为200万元以上的罚款，法律、行政法规以及国务院有关部门明确规定相关领域“较大数额罚款”标准高于200万元的，从其规定。本项目确定供应商经营活动中重大违法记录中较大数额罚款的金额标准为：200万元。</w:t>
      </w:r>
    </w:p>
    <w:p w14:paraId="09F7C52A">
      <w:pPr>
        <w:keepLines w:val="0"/>
        <w:pageBreakBefore w:val="0"/>
        <w:kinsoku/>
        <w:overflowPunct/>
        <w:bidi w:val="0"/>
        <w:spacing w:line="360" w:lineRule="auto"/>
        <w:rPr>
          <w:rFonts w:hint="eastAsia" w:hAnsi="宋体" w:cs="宋体"/>
          <w:b/>
          <w:bCs/>
          <w:color w:val="auto"/>
          <w:sz w:val="21"/>
          <w:szCs w:val="21"/>
          <w:highlight w:val="none"/>
        </w:rPr>
        <w:sectPr>
          <w:headerReference r:id="rId30" w:type="first"/>
          <w:footerReference r:id="rId31" w:type="default"/>
          <w:headerReference r:id="rId29" w:type="even"/>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26" w:charSpace="0"/>
        </w:sectPr>
      </w:pPr>
      <w:r>
        <w:rPr>
          <w:rFonts w:hint="eastAsia" w:hAnsi="宋体" w:cs="宋体"/>
          <w:b/>
          <w:bCs/>
          <w:color w:val="auto"/>
          <w:sz w:val="21"/>
          <w:szCs w:val="21"/>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bookmarkStart w:id="152" w:name="_Toc21378"/>
      <w:bookmarkStart w:id="153" w:name="_Toc12281"/>
      <w:bookmarkStart w:id="154" w:name="_Toc29399"/>
    </w:p>
    <w:p w14:paraId="33606DE8">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r>
        <w:rPr>
          <w:rFonts w:hint="eastAsia" w:ascii="Cambria" w:hAnsi="Cambria" w:eastAsia="宋体" w:cs="Times New Roman"/>
          <w:b/>
          <w:bCs/>
          <w:color w:val="auto"/>
          <w:kern w:val="32"/>
          <w:sz w:val="32"/>
          <w:szCs w:val="32"/>
          <w:highlight w:val="none"/>
          <w:lang w:val="en-US" w:eastAsia="zh-CN" w:bidi="ar-SA"/>
        </w:rPr>
        <w:t>第五章 投标人应当提供的资格、资质性及其他类似效力要求的相关证明材料</w:t>
      </w:r>
      <w:bookmarkEnd w:id="152"/>
      <w:bookmarkEnd w:id="153"/>
      <w:bookmarkEnd w:id="154"/>
    </w:p>
    <w:p w14:paraId="5E58E9C7">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lang w:eastAsia="zh-CN"/>
        </w:rPr>
        <w:t>一、</w:t>
      </w:r>
      <w:r>
        <w:rPr>
          <w:rFonts w:hint="eastAsia" w:hAnsi="宋体" w:cs="宋体"/>
          <w:b/>
          <w:bCs/>
          <w:color w:val="auto"/>
          <w:highlight w:val="none"/>
        </w:rPr>
        <w:t>投标人应当提供的资格、资质性文件及其他类似效力的要求的相关证明材料</w:t>
      </w:r>
    </w:p>
    <w:p w14:paraId="5A11EB03">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（一）投标人应具备《中华人民共和国政府采购法》第二十二条规定的下列条件：</w:t>
      </w:r>
    </w:p>
    <w:p w14:paraId="2A74346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bookmarkStart w:id="155" w:name="_Toc320624223"/>
      <w:bookmarkEnd w:id="155"/>
      <w:bookmarkStart w:id="156" w:name="_Toc320624224"/>
      <w:bookmarkEnd w:id="156"/>
      <w:bookmarkStart w:id="157" w:name="_Toc320624219"/>
      <w:bookmarkEnd w:id="157"/>
      <w:bookmarkStart w:id="158" w:name="_Toc320624218"/>
      <w:bookmarkEnd w:id="158"/>
      <w:bookmarkStart w:id="159" w:name="_Toc320624214"/>
      <w:bookmarkEnd w:id="159"/>
      <w:bookmarkStart w:id="160" w:name="_Toc320624220"/>
      <w:bookmarkEnd w:id="160"/>
      <w:bookmarkStart w:id="161" w:name="_Toc320624216"/>
      <w:bookmarkEnd w:id="161"/>
      <w:bookmarkStart w:id="162" w:name="_Toc320624212"/>
      <w:bookmarkEnd w:id="162"/>
      <w:bookmarkStart w:id="163" w:name="_Toc320624213"/>
      <w:bookmarkEnd w:id="163"/>
      <w:bookmarkStart w:id="164" w:name="_Toc320624215"/>
      <w:bookmarkEnd w:id="164"/>
      <w:bookmarkStart w:id="165" w:name="_Toc320624222"/>
      <w:bookmarkEnd w:id="165"/>
      <w:bookmarkStart w:id="166" w:name="_Toc320624221"/>
      <w:bookmarkEnd w:id="166"/>
      <w:bookmarkStart w:id="167" w:name="_Toc320624217"/>
      <w:bookmarkEnd w:id="167"/>
      <w:r>
        <w:rPr>
          <w:rFonts w:hint="eastAsia" w:hAnsi="宋体" w:cs="宋体"/>
          <w:b/>
          <w:bCs/>
          <w:color w:val="auto"/>
          <w:highlight w:val="none"/>
        </w:rPr>
        <w:t>1</w:t>
      </w:r>
      <w:r>
        <w:rPr>
          <w:rFonts w:hint="eastAsia" w:hAnsi="宋体" w:cs="宋体"/>
          <w:b/>
          <w:bCs/>
          <w:color w:val="auto"/>
          <w:highlight w:val="none"/>
          <w:lang w:eastAsia="zh-CN"/>
        </w:rPr>
        <w:t>、</w:t>
      </w:r>
      <w:r>
        <w:rPr>
          <w:rFonts w:hint="eastAsia" w:hAnsi="宋体" w:cs="宋体"/>
          <w:b/>
          <w:bCs/>
          <w:color w:val="auto"/>
          <w:highlight w:val="none"/>
        </w:rPr>
        <w:t>具有独立承担民事责任的能力提供以下证明材料：</w:t>
      </w:r>
    </w:p>
    <w:p w14:paraId="2207CD70">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（1）独立法人机构提供下述证明材料：</w:t>
      </w:r>
    </w:p>
    <w:p w14:paraId="4CD809C3">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营业执照副本复印件（注：①在有效期内；②具有独立法人资格；）或工商部门新颁发的营业执照复印件（有效期内）。</w:t>
      </w:r>
    </w:p>
    <w:p w14:paraId="530B1F43">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（2）其他组织或自然人提供具有承担民事责任的能力的证明材料复印件；</w:t>
      </w:r>
    </w:p>
    <w:p w14:paraId="43413B27">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2</w:t>
      </w:r>
      <w:r>
        <w:rPr>
          <w:rFonts w:hint="eastAsia" w:hAnsi="宋体" w:cs="宋体"/>
          <w:b/>
          <w:bCs/>
          <w:color w:val="auto"/>
          <w:highlight w:val="none"/>
          <w:lang w:eastAsia="zh-CN"/>
        </w:rPr>
        <w:t>、</w:t>
      </w:r>
      <w:r>
        <w:rPr>
          <w:rFonts w:hint="eastAsia" w:hAnsi="宋体" w:cs="宋体"/>
          <w:b/>
          <w:bCs/>
          <w:color w:val="auto"/>
          <w:highlight w:val="none"/>
        </w:rPr>
        <w:t>具有良好的商业信誉和健全的财务会计制度提供以下证明材料：</w:t>
      </w:r>
    </w:p>
    <w:p w14:paraId="0E37D29E">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（1）具有健全的财务会计制度（20</w:t>
      </w:r>
      <w:r>
        <w:rPr>
          <w:rFonts w:hint="eastAsia" w:hAnsi="宋体" w:cs="宋体"/>
          <w:color w:val="auto"/>
          <w:highlight w:val="none"/>
          <w:lang w:val="en-US" w:eastAsia="zh-CN"/>
        </w:rPr>
        <w:t>23</w:t>
      </w:r>
      <w:r>
        <w:rPr>
          <w:rFonts w:hint="eastAsia" w:hAnsi="宋体" w:cs="宋体"/>
          <w:color w:val="auto"/>
          <w:highlight w:val="none"/>
        </w:rPr>
        <w:t>年度</w:t>
      </w:r>
      <w:r>
        <w:rPr>
          <w:rFonts w:hint="eastAsia" w:hAnsi="宋体" w:cs="宋体"/>
          <w:color w:val="auto"/>
          <w:highlight w:val="none"/>
          <w:lang w:val="en-US" w:eastAsia="zh-CN"/>
        </w:rPr>
        <w:t>至</w:t>
      </w:r>
      <w:r>
        <w:rPr>
          <w:rFonts w:hint="eastAsia" w:hAnsi="宋体" w:cs="宋体"/>
          <w:color w:val="auto"/>
          <w:highlight w:val="none"/>
        </w:rPr>
        <w:t>202</w:t>
      </w:r>
      <w:r>
        <w:rPr>
          <w:rFonts w:hint="eastAsia" w:hAnsi="宋体" w:cs="宋体"/>
          <w:color w:val="auto"/>
          <w:highlight w:val="none"/>
          <w:lang w:val="en-US" w:eastAsia="zh-CN"/>
        </w:rPr>
        <w:t>5</w:t>
      </w:r>
      <w:r>
        <w:rPr>
          <w:rFonts w:hint="eastAsia" w:hAnsi="宋体" w:cs="宋体"/>
          <w:color w:val="auto"/>
          <w:highlight w:val="none"/>
        </w:rPr>
        <w:t>年度</w:t>
      </w:r>
      <w:r>
        <w:rPr>
          <w:rFonts w:hint="eastAsia" w:hAnsi="宋体" w:cs="宋体"/>
          <w:color w:val="auto"/>
          <w:highlight w:val="none"/>
          <w:lang w:val="en-US" w:eastAsia="zh-CN"/>
        </w:rPr>
        <w:t>任意一年度</w:t>
      </w:r>
      <w:r>
        <w:rPr>
          <w:rFonts w:hint="eastAsia" w:hAnsi="宋体" w:cs="宋体"/>
          <w:color w:val="auto"/>
          <w:highlight w:val="none"/>
        </w:rPr>
        <w:t>财务状况（投标人可根据自身实际情况任选其一提供以下证明材料））：</w:t>
      </w:r>
    </w:p>
    <w:p w14:paraId="3C5116A8">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①可提供20</w:t>
      </w:r>
      <w:r>
        <w:rPr>
          <w:rFonts w:hint="eastAsia" w:hAnsi="宋体" w:cs="宋体"/>
          <w:color w:val="auto"/>
          <w:highlight w:val="none"/>
          <w:lang w:val="en-US" w:eastAsia="zh-CN"/>
        </w:rPr>
        <w:t>23</w:t>
      </w:r>
      <w:r>
        <w:rPr>
          <w:rFonts w:hint="eastAsia" w:hAnsi="宋体" w:cs="宋体"/>
          <w:color w:val="auto"/>
          <w:highlight w:val="none"/>
        </w:rPr>
        <w:t>年</w:t>
      </w:r>
      <w:r>
        <w:rPr>
          <w:rFonts w:hint="eastAsia" w:hAnsi="宋体" w:cs="宋体"/>
          <w:color w:val="auto"/>
          <w:highlight w:val="none"/>
          <w:lang w:val="en-US" w:eastAsia="zh-CN"/>
        </w:rPr>
        <w:t>至</w:t>
      </w:r>
      <w:r>
        <w:rPr>
          <w:rFonts w:hint="eastAsia" w:hAnsi="宋体" w:cs="宋体"/>
          <w:color w:val="auto"/>
          <w:highlight w:val="none"/>
        </w:rPr>
        <w:t>202</w:t>
      </w:r>
      <w:r>
        <w:rPr>
          <w:rFonts w:hint="eastAsia" w:hAnsi="宋体" w:cs="宋体"/>
          <w:color w:val="auto"/>
          <w:highlight w:val="none"/>
          <w:lang w:val="en-US" w:eastAsia="zh-CN"/>
        </w:rPr>
        <w:t>5</w:t>
      </w:r>
      <w:r>
        <w:rPr>
          <w:rFonts w:hint="eastAsia" w:hAnsi="宋体" w:cs="宋体"/>
          <w:color w:val="auto"/>
          <w:highlight w:val="none"/>
        </w:rPr>
        <w:t>年</w:t>
      </w:r>
      <w:r>
        <w:rPr>
          <w:rFonts w:hint="eastAsia" w:hAnsi="宋体" w:cs="宋体"/>
          <w:color w:val="auto"/>
          <w:highlight w:val="none"/>
          <w:lang w:val="en-US" w:eastAsia="zh-CN"/>
        </w:rPr>
        <w:t>任意一年</w:t>
      </w:r>
      <w:r>
        <w:rPr>
          <w:rFonts w:hint="eastAsia" w:hAnsi="宋体" w:cs="宋体"/>
          <w:color w:val="auto"/>
          <w:highlight w:val="none"/>
        </w:rPr>
        <w:t>度经审计的财务报告复印件（包含审计报告和审计报告中所涉及的财务报表和报表附注）；</w:t>
      </w:r>
    </w:p>
    <w:p w14:paraId="510D655E">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②也可提供20</w:t>
      </w:r>
      <w:r>
        <w:rPr>
          <w:rFonts w:hint="eastAsia" w:hAnsi="宋体" w:cs="宋体"/>
          <w:color w:val="auto"/>
          <w:highlight w:val="none"/>
          <w:lang w:val="en-US" w:eastAsia="zh-CN"/>
        </w:rPr>
        <w:t>23</w:t>
      </w:r>
      <w:r>
        <w:rPr>
          <w:rFonts w:hint="eastAsia" w:hAnsi="宋体" w:cs="宋体"/>
          <w:color w:val="auto"/>
          <w:highlight w:val="none"/>
        </w:rPr>
        <w:t>年</w:t>
      </w:r>
      <w:r>
        <w:rPr>
          <w:rFonts w:hint="eastAsia" w:hAnsi="宋体" w:cs="宋体"/>
          <w:color w:val="auto"/>
          <w:highlight w:val="none"/>
          <w:lang w:val="en-US" w:eastAsia="zh-CN"/>
        </w:rPr>
        <w:t>至</w:t>
      </w:r>
      <w:r>
        <w:rPr>
          <w:rFonts w:hint="eastAsia" w:hAnsi="宋体" w:cs="宋体"/>
          <w:color w:val="auto"/>
          <w:highlight w:val="none"/>
        </w:rPr>
        <w:t>202</w:t>
      </w:r>
      <w:r>
        <w:rPr>
          <w:rFonts w:hint="eastAsia" w:hAnsi="宋体" w:cs="宋体"/>
          <w:color w:val="auto"/>
          <w:highlight w:val="none"/>
          <w:lang w:val="en-US" w:eastAsia="zh-CN"/>
        </w:rPr>
        <w:t>5</w:t>
      </w:r>
      <w:r>
        <w:rPr>
          <w:rFonts w:hint="eastAsia" w:hAnsi="宋体" w:cs="宋体"/>
          <w:color w:val="auto"/>
          <w:highlight w:val="none"/>
        </w:rPr>
        <w:t>年</w:t>
      </w:r>
      <w:r>
        <w:rPr>
          <w:rFonts w:hint="eastAsia" w:hAnsi="宋体" w:cs="宋体"/>
          <w:color w:val="auto"/>
          <w:highlight w:val="none"/>
          <w:lang w:val="en-US" w:eastAsia="zh-CN"/>
        </w:rPr>
        <w:t>任意一年</w:t>
      </w:r>
      <w:r>
        <w:rPr>
          <w:rFonts w:hint="eastAsia" w:hAnsi="宋体" w:cs="宋体"/>
          <w:color w:val="auto"/>
          <w:highlight w:val="none"/>
        </w:rPr>
        <w:t>度供应商内部的财务报表复印件（至少包含资产负债表）；</w:t>
      </w:r>
    </w:p>
    <w:p w14:paraId="5A05E42C">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③也可提供截至</w:t>
      </w:r>
      <w:r>
        <w:rPr>
          <w:rFonts w:hint="eastAsia" w:hAnsi="宋体" w:cs="宋体"/>
          <w:color w:val="auto"/>
          <w:highlight w:val="none"/>
          <w:lang w:val="en-US" w:eastAsia="zh-CN"/>
        </w:rPr>
        <w:t>投标</w:t>
      </w:r>
      <w:r>
        <w:rPr>
          <w:rFonts w:hint="eastAsia" w:hAnsi="宋体" w:cs="宋体"/>
          <w:color w:val="auto"/>
          <w:highlight w:val="none"/>
        </w:rPr>
        <w:t>文件递交截止日一年内银行出具的资信证明（复印件）。</w:t>
      </w:r>
    </w:p>
    <w:p w14:paraId="0B592620">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④供应商注册时间至文件递交截止日不足一年的，也可提供在工商备案的公司章程（复印件）。</w:t>
      </w:r>
    </w:p>
    <w:p w14:paraId="3FADA8F5">
      <w:pPr>
        <w:keepLines w:val="0"/>
        <w:pageBreakBefore w:val="0"/>
        <w:kinsoku/>
        <w:overflowPunct/>
        <w:bidi w:val="0"/>
        <w:spacing w:line="360" w:lineRule="auto"/>
        <w:ind w:firstLine="480" w:firstLineChars="200"/>
        <w:rPr>
          <w:rFonts w:hint="eastAsia"/>
          <w:color w:val="auto"/>
          <w:highlight w:val="none"/>
        </w:rPr>
      </w:pPr>
      <w:r>
        <w:rPr>
          <w:rFonts w:hint="eastAsia" w:hAnsi="宋体" w:cs="宋体"/>
          <w:color w:val="auto"/>
          <w:highlight w:val="none"/>
          <w:lang w:eastAsia="zh-CN"/>
        </w:rPr>
        <w:t>⑤</w:t>
      </w:r>
      <w:r>
        <w:rPr>
          <w:rFonts w:hint="eastAsia" w:hAnsi="宋体" w:cs="宋体"/>
          <w:color w:val="auto"/>
          <w:highlight w:val="none"/>
        </w:rPr>
        <w:t>也可提供具有健全的财务会计制度</w:t>
      </w:r>
      <w:r>
        <w:rPr>
          <w:rFonts w:hint="eastAsia" w:hAnsi="宋体" w:cs="宋体"/>
          <w:color w:val="auto"/>
          <w:highlight w:val="none"/>
          <w:lang w:eastAsia="zh-CN"/>
        </w:rPr>
        <w:t>承诺书原件</w:t>
      </w:r>
      <w:r>
        <w:rPr>
          <w:rFonts w:hint="eastAsia" w:hAnsi="宋体" w:cs="宋体"/>
          <w:color w:val="auto"/>
          <w:highlight w:val="none"/>
          <w:lang w:val="zh-CN"/>
        </w:rPr>
        <w:t>【格式可自拟】。</w:t>
      </w:r>
    </w:p>
    <w:p w14:paraId="58716D7B">
      <w:pPr>
        <w:keepLines w:val="0"/>
        <w:pageBreakBefore w:val="0"/>
        <w:kinsoku/>
        <w:overflowPunct/>
        <w:bidi w:val="0"/>
        <w:spacing w:line="360" w:lineRule="auto"/>
        <w:ind w:firstLine="480" w:firstLineChars="200"/>
        <w:rPr>
          <w:rFonts w:hint="eastAsia" w:hAnsi="宋体" w:cs="宋体"/>
          <w:color w:val="auto"/>
          <w:highlight w:val="none"/>
          <w:lang w:val="zh-CN"/>
        </w:rPr>
      </w:pPr>
      <w:r>
        <w:rPr>
          <w:rFonts w:hint="eastAsia" w:hAnsi="宋体" w:cs="宋体"/>
          <w:color w:val="auto"/>
          <w:highlight w:val="none"/>
          <w:lang w:val="zh-CN"/>
        </w:rPr>
        <w:t>（2）具有良好的商业信誉可提供承诺书原件【格式可自拟】。</w:t>
      </w:r>
    </w:p>
    <w:p w14:paraId="37524D86">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3</w:t>
      </w:r>
      <w:r>
        <w:rPr>
          <w:rFonts w:hint="eastAsia" w:hAnsi="宋体" w:cs="宋体"/>
          <w:b/>
          <w:bCs/>
          <w:color w:val="auto"/>
          <w:highlight w:val="none"/>
          <w:lang w:eastAsia="zh-CN"/>
        </w:rPr>
        <w:t>、</w:t>
      </w:r>
      <w:r>
        <w:rPr>
          <w:rFonts w:hint="eastAsia" w:hAnsi="宋体" w:cs="宋体"/>
          <w:b/>
          <w:bCs/>
          <w:color w:val="auto"/>
          <w:highlight w:val="none"/>
        </w:rPr>
        <w:t>具有履行合同所必需的设备和专业技术能力的证明材料：</w:t>
      </w:r>
    </w:p>
    <w:p w14:paraId="4A6C6770">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（1）投标人自行提供</w:t>
      </w:r>
      <w:r>
        <w:rPr>
          <w:rFonts w:hint="eastAsia" w:hAnsi="宋体" w:cs="宋体"/>
          <w:color w:val="auto"/>
          <w:highlight w:val="none"/>
          <w:lang w:val="en-US" w:eastAsia="zh-CN"/>
        </w:rPr>
        <w:t>证明材料</w:t>
      </w:r>
      <w:r>
        <w:rPr>
          <w:rFonts w:hint="eastAsia" w:hAnsi="宋体" w:cs="宋体"/>
          <w:color w:val="auto"/>
          <w:highlight w:val="none"/>
        </w:rPr>
        <w:t>或提供承诺函原件。</w:t>
      </w:r>
    </w:p>
    <w:p w14:paraId="5206EBC2">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4</w:t>
      </w:r>
      <w:r>
        <w:rPr>
          <w:rFonts w:hint="eastAsia" w:hAnsi="宋体" w:cs="宋体"/>
          <w:b/>
          <w:bCs/>
          <w:color w:val="auto"/>
          <w:highlight w:val="none"/>
          <w:lang w:eastAsia="zh-CN"/>
        </w:rPr>
        <w:t>、</w:t>
      </w:r>
      <w:r>
        <w:rPr>
          <w:rFonts w:hint="eastAsia" w:hAnsi="宋体" w:cs="宋体"/>
          <w:b/>
          <w:bCs/>
          <w:color w:val="auto"/>
          <w:highlight w:val="none"/>
        </w:rPr>
        <w:t>有依法缴纳税收和社会保障资金的良好记录：</w:t>
      </w:r>
    </w:p>
    <w:p w14:paraId="1E3C9D6C">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（1）缴纳税收证明材料（投标人可提供以下证明材料）：</w:t>
      </w:r>
    </w:p>
    <w:p w14:paraId="03202D11">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投标人提供202</w:t>
      </w:r>
      <w:r>
        <w:rPr>
          <w:rFonts w:hint="eastAsia" w:hAnsi="宋体" w:cs="宋体"/>
          <w:color w:val="auto"/>
          <w:highlight w:val="none"/>
          <w:lang w:val="en-US" w:eastAsia="zh-CN"/>
        </w:rPr>
        <w:t>6</w:t>
      </w:r>
      <w:r>
        <w:rPr>
          <w:rFonts w:hint="eastAsia" w:hAnsi="宋体" w:cs="宋体"/>
          <w:color w:val="auto"/>
          <w:highlight w:val="none"/>
        </w:rPr>
        <w:t>年</w:t>
      </w:r>
      <w:r>
        <w:rPr>
          <w:rFonts w:hint="eastAsia" w:hAnsi="宋体" w:cs="宋体"/>
          <w:color w:val="auto"/>
          <w:highlight w:val="none"/>
          <w:lang w:val="en-US" w:eastAsia="zh-CN"/>
        </w:rPr>
        <w:t>1</w:t>
      </w:r>
      <w:r>
        <w:rPr>
          <w:rFonts w:hint="eastAsia" w:hAnsi="宋体" w:cs="宋体"/>
          <w:color w:val="auto"/>
          <w:highlight w:val="none"/>
        </w:rPr>
        <w:t>月1号以后任意一月的缴纳税收的银行电子回单或者税务部门出具的纳税证明或完税证明（注：原件或复印件或扫描件）或承诺书</w:t>
      </w:r>
      <w:r>
        <w:rPr>
          <w:rFonts w:hint="eastAsia" w:hAnsi="宋体" w:cs="宋体"/>
          <w:color w:val="auto"/>
          <w:highlight w:val="none"/>
          <w:lang w:val="zh-CN"/>
        </w:rPr>
        <w:t>【格式可自拟】</w:t>
      </w:r>
      <w:r>
        <w:rPr>
          <w:rFonts w:hint="eastAsia" w:hAnsi="宋体" w:cs="宋体"/>
          <w:color w:val="auto"/>
          <w:highlight w:val="none"/>
        </w:rPr>
        <w:t>（注：原件）（注：承诺若不属实，将视为虚假响应，并按政府采购相关规定予以严惩）。</w:t>
      </w:r>
    </w:p>
    <w:p w14:paraId="40AF14F8">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（2）缴纳社会保障资金（投标人可提供以下证明材料）：</w:t>
      </w:r>
    </w:p>
    <w:p w14:paraId="1FB4D7DA">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投标人提供202</w:t>
      </w:r>
      <w:r>
        <w:rPr>
          <w:rFonts w:hint="eastAsia" w:hAnsi="宋体" w:cs="宋体"/>
          <w:color w:val="auto"/>
          <w:highlight w:val="none"/>
          <w:lang w:val="en-US" w:eastAsia="zh-CN"/>
        </w:rPr>
        <w:t>6</w:t>
      </w:r>
      <w:r>
        <w:rPr>
          <w:rFonts w:hint="eastAsia" w:hAnsi="宋体" w:cs="宋体"/>
          <w:color w:val="auto"/>
          <w:highlight w:val="none"/>
        </w:rPr>
        <w:t>年</w:t>
      </w:r>
      <w:r>
        <w:rPr>
          <w:rFonts w:hint="eastAsia" w:hAnsi="宋体" w:cs="宋体"/>
          <w:color w:val="auto"/>
          <w:highlight w:val="none"/>
          <w:lang w:val="en-US" w:eastAsia="zh-CN"/>
        </w:rPr>
        <w:t>1</w:t>
      </w:r>
      <w:r>
        <w:rPr>
          <w:rFonts w:hint="eastAsia" w:hAnsi="宋体" w:cs="宋体"/>
          <w:color w:val="auto"/>
          <w:highlight w:val="none"/>
        </w:rPr>
        <w:t>月1号以后任意一月社保缴纳的证明材料（注：1.缴纳的银行电子回单或以社保部门出具的为准（注：原件或复印件或扫描件）或承诺书</w:t>
      </w:r>
      <w:r>
        <w:rPr>
          <w:rFonts w:hint="eastAsia" w:hAnsi="宋体" w:cs="宋体"/>
          <w:color w:val="auto"/>
          <w:highlight w:val="none"/>
          <w:lang w:val="zh-CN"/>
        </w:rPr>
        <w:t>【格式可自拟】</w:t>
      </w:r>
      <w:r>
        <w:rPr>
          <w:rFonts w:hint="eastAsia" w:hAnsi="宋体" w:cs="宋体"/>
          <w:color w:val="auto"/>
          <w:highlight w:val="none"/>
        </w:rPr>
        <w:t>（注：原件）（注：承诺若不属实，将视为虚假响应，并按政府采购相关规定予以严惩）。</w:t>
      </w:r>
    </w:p>
    <w:p w14:paraId="640FF2E5">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5</w:t>
      </w:r>
      <w:r>
        <w:rPr>
          <w:rFonts w:hint="eastAsia" w:hAnsi="宋体" w:cs="宋体"/>
          <w:b/>
          <w:bCs/>
          <w:color w:val="auto"/>
          <w:highlight w:val="none"/>
          <w:lang w:eastAsia="zh-CN"/>
        </w:rPr>
        <w:t>、</w:t>
      </w:r>
      <w:r>
        <w:rPr>
          <w:rFonts w:hint="eastAsia" w:hAnsi="宋体" w:cs="宋体"/>
          <w:b/>
          <w:bCs/>
          <w:color w:val="auto"/>
          <w:highlight w:val="none"/>
        </w:rPr>
        <w:t>参加政府采购活动前三年内，在经营活动中没有重大违法记录提供以下证明材料：</w:t>
      </w:r>
    </w:p>
    <w:p w14:paraId="3C3F95E3">
      <w:pPr>
        <w:keepLines w:val="0"/>
        <w:pageBreakBefore w:val="0"/>
        <w:kinsoku/>
        <w:overflowPunct/>
        <w:bidi w:val="0"/>
        <w:spacing w:line="360" w:lineRule="auto"/>
        <w:ind w:left="1" w:firstLine="424" w:firstLineChars="177"/>
        <w:rPr>
          <w:rFonts w:hAnsi="宋体"/>
          <w:color w:val="auto"/>
          <w:highlight w:val="none"/>
        </w:rPr>
      </w:pPr>
      <w:r>
        <w:rPr>
          <w:rFonts w:hint="eastAsia" w:hAnsi="宋体"/>
          <w:color w:val="auto"/>
          <w:highlight w:val="none"/>
        </w:rPr>
        <w:t>（1）投标人参加政府采购活动前三年内，在经营活动中没有重大违法记录的书面声明原件。</w:t>
      </w:r>
    </w:p>
    <w:p w14:paraId="52145351">
      <w:pPr>
        <w:keepLines w:val="0"/>
        <w:pageBreakBefore w:val="0"/>
        <w:kinsoku/>
        <w:overflowPunct/>
        <w:bidi w:val="0"/>
        <w:spacing w:line="360" w:lineRule="auto"/>
        <w:rPr>
          <w:rFonts w:hint="eastAsia" w:hAnsi="宋体" w:eastAsia="宋体" w:cs="宋体"/>
          <w:b/>
          <w:bCs/>
          <w:color w:val="auto"/>
          <w:highlight w:val="none"/>
          <w:lang w:val="en-US" w:eastAsia="zh-CN"/>
        </w:rPr>
      </w:pPr>
      <w:r>
        <w:rPr>
          <w:rFonts w:hint="eastAsia" w:hAnsi="宋体" w:cs="宋体"/>
          <w:b/>
          <w:bCs/>
          <w:color w:val="auto"/>
          <w:highlight w:val="none"/>
        </w:rPr>
        <w:t>（二）根据采购项目提出的特殊条件：</w:t>
      </w:r>
      <w:r>
        <w:rPr>
          <w:rFonts w:hint="eastAsia" w:hAnsi="宋体" w:cs="宋体"/>
          <w:b/>
          <w:bCs/>
          <w:color w:val="auto"/>
          <w:highlight w:val="none"/>
          <w:lang w:val="en-US" w:eastAsia="zh-CN"/>
        </w:rPr>
        <w:t>无。</w:t>
      </w:r>
    </w:p>
    <w:p w14:paraId="35A40433">
      <w:pPr>
        <w:keepLines w:val="0"/>
        <w:pageBreakBefore w:val="0"/>
        <w:kinsoku/>
        <w:overflowPunct/>
        <w:bidi w:val="0"/>
        <w:spacing w:line="360" w:lineRule="auto"/>
        <w:rPr>
          <w:rFonts w:hint="eastAsia" w:hAnsi="宋体" w:cs="宋体"/>
          <w:b/>
          <w:bCs/>
          <w:color w:val="auto"/>
          <w:highlight w:val="none"/>
          <w:lang w:eastAsia="zh-CN"/>
        </w:rPr>
      </w:pPr>
    </w:p>
    <w:p w14:paraId="6B2BED1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仿宋"/>
          <w:b/>
          <w:bCs w:val="0"/>
          <w:color w:val="auto"/>
          <w:kern w:val="0"/>
          <w:sz w:val="24"/>
          <w:highlight w:val="none"/>
          <w:lang w:val="en-US" w:eastAsia="zh-CN" w:bidi="ar-SA"/>
        </w:rPr>
      </w:pPr>
      <w:r>
        <w:rPr>
          <w:rFonts w:hint="eastAsia" w:hAnsi="宋体" w:cs="宋体"/>
          <w:b/>
          <w:bCs/>
          <w:color w:val="auto"/>
          <w:highlight w:val="none"/>
          <w:lang w:eastAsia="zh-CN"/>
        </w:rPr>
        <w:t>（</w:t>
      </w:r>
      <w:r>
        <w:rPr>
          <w:rFonts w:hint="eastAsia" w:hAnsi="宋体" w:cs="宋体"/>
          <w:b/>
          <w:bCs/>
          <w:color w:val="auto"/>
          <w:highlight w:val="none"/>
          <w:lang w:val="en-US" w:eastAsia="zh-CN"/>
        </w:rPr>
        <w:t>三</w:t>
      </w:r>
      <w:r>
        <w:rPr>
          <w:rFonts w:hint="eastAsia" w:hAnsi="宋体" w:cs="宋体"/>
          <w:b/>
          <w:bCs/>
          <w:color w:val="auto"/>
          <w:highlight w:val="none"/>
          <w:lang w:eastAsia="zh-CN"/>
        </w:rPr>
        <w:t>）</w:t>
      </w:r>
      <w:r>
        <w:rPr>
          <w:rFonts w:hint="eastAsia" w:ascii="宋体" w:hAnsi="宋体" w:eastAsia="宋体" w:cs="仿宋"/>
          <w:b/>
          <w:bCs w:val="0"/>
          <w:color w:val="auto"/>
          <w:kern w:val="0"/>
          <w:sz w:val="24"/>
          <w:highlight w:val="none"/>
          <w:lang w:val="en-US" w:eastAsia="zh-CN" w:bidi="ar-SA"/>
        </w:rPr>
        <w:t>落实政府采购政策需满足的资格要求：</w:t>
      </w:r>
    </w:p>
    <w:p w14:paraId="262F389E">
      <w:pPr>
        <w:pStyle w:val="11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eastAsia="宋体"/>
          <w:b w:val="0"/>
          <w:bCs/>
          <w:color w:val="auto"/>
          <w:highlight w:val="none"/>
          <w:lang w:val="en-US" w:eastAsia="zh-CN"/>
        </w:rPr>
      </w:pPr>
      <w:r>
        <w:rPr>
          <w:rFonts w:hint="eastAsia"/>
          <w:b w:val="0"/>
          <w:bCs/>
          <w:color w:val="auto"/>
          <w:highlight w:val="none"/>
          <w:lang w:val="en-US" w:eastAsia="zh-CN"/>
        </w:rPr>
        <w:t>1</w:t>
      </w:r>
      <w:r>
        <w:rPr>
          <w:rFonts w:hint="eastAsia" w:ascii="Times New Roman" w:hAnsi="宋体" w:eastAsia="宋体" w:cs="宋体"/>
          <w:b w:val="0"/>
          <w:bCs w:val="0"/>
          <w:color w:val="auto"/>
          <w:kern w:val="0"/>
          <w:sz w:val="24"/>
          <w:szCs w:val="24"/>
          <w:highlight w:val="none"/>
          <w:lang w:val="en-US" w:eastAsia="zh-CN" w:bidi="ar-SA"/>
        </w:rPr>
        <w:t>、</w:t>
      </w:r>
      <w:r>
        <w:rPr>
          <w:rFonts w:hint="eastAsia"/>
          <w:b w:val="0"/>
          <w:bCs/>
          <w:color w:val="auto"/>
          <w:highlight w:val="none"/>
          <w:lang w:val="en-US" w:eastAsia="zh-CN"/>
        </w:rPr>
        <w:t>本项目专门面向中小企业采购（投标人需提供符合要求的中小企业声明函）</w:t>
      </w:r>
    </w:p>
    <w:p w14:paraId="1D910F0F">
      <w:pPr>
        <w:keepLines w:val="0"/>
        <w:pageBreakBefore w:val="0"/>
        <w:kinsoku/>
        <w:overflowPunct/>
        <w:bidi w:val="0"/>
        <w:spacing w:line="360" w:lineRule="auto"/>
        <w:rPr>
          <w:rFonts w:hint="eastAsia" w:ascii="宋体" w:hAnsi="宋体" w:eastAsia="宋体" w:cs="仿宋"/>
          <w:b/>
          <w:bCs w:val="0"/>
          <w:color w:val="auto"/>
          <w:kern w:val="0"/>
          <w:sz w:val="24"/>
          <w:highlight w:val="none"/>
          <w:lang w:val="en-US" w:eastAsia="zh-CN" w:bidi="ar-SA"/>
        </w:rPr>
      </w:pPr>
    </w:p>
    <w:p w14:paraId="39CDEAD8">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（三）其他类似效力要求相关证明材料：</w:t>
      </w:r>
    </w:p>
    <w:p w14:paraId="6D43AF6B">
      <w:pPr>
        <w:keepLines w:val="0"/>
        <w:pageBreakBefore w:val="0"/>
        <w:tabs>
          <w:tab w:val="left" w:pos="1134"/>
        </w:tabs>
        <w:kinsoku/>
        <w:overflowPunct/>
        <w:bidi w:val="0"/>
        <w:spacing w:line="360" w:lineRule="auto"/>
        <w:ind w:firstLine="338" w:firstLineChars="141"/>
        <w:rPr>
          <w:rFonts w:hAnsi="宋体"/>
          <w:bCs/>
          <w:color w:val="auto"/>
          <w:highlight w:val="none"/>
        </w:rPr>
      </w:pPr>
      <w:r>
        <w:rPr>
          <w:rFonts w:hint="eastAsia" w:hAnsi="宋体"/>
          <w:bCs/>
          <w:color w:val="auto"/>
          <w:highlight w:val="none"/>
        </w:rPr>
        <w:t>1</w:t>
      </w:r>
      <w:r>
        <w:rPr>
          <w:rFonts w:hint="eastAsia" w:hAnsi="宋体"/>
          <w:bCs/>
          <w:color w:val="auto"/>
          <w:highlight w:val="none"/>
          <w:lang w:eastAsia="zh-CN"/>
        </w:rPr>
        <w:t>、</w:t>
      </w:r>
      <w:r>
        <w:rPr>
          <w:rFonts w:hint="eastAsia" w:hAnsi="宋体"/>
          <w:bCs/>
          <w:color w:val="auto"/>
          <w:highlight w:val="none"/>
        </w:rPr>
        <w:t>法定代表人身份证复印件或护照复印件［注：①法定代表人身份证复印件（在有效期内、两面均应复印）或护照复印件（法定代表人为外籍人士的，按此提供）；</w:t>
      </w:r>
    </w:p>
    <w:p w14:paraId="1506645A">
      <w:pPr>
        <w:keepLines w:val="0"/>
        <w:pageBreakBefore w:val="0"/>
        <w:tabs>
          <w:tab w:val="left" w:pos="1134"/>
        </w:tabs>
        <w:kinsoku/>
        <w:overflowPunct/>
        <w:bidi w:val="0"/>
        <w:spacing w:line="360" w:lineRule="auto"/>
        <w:ind w:firstLine="338" w:firstLineChars="141"/>
        <w:rPr>
          <w:rFonts w:hAnsi="宋体"/>
          <w:bCs/>
          <w:color w:val="auto"/>
          <w:highlight w:val="none"/>
        </w:rPr>
      </w:pPr>
      <w:r>
        <w:rPr>
          <w:rFonts w:hint="eastAsia" w:hAnsi="宋体"/>
          <w:bCs/>
          <w:color w:val="auto"/>
          <w:highlight w:val="none"/>
        </w:rPr>
        <w:t>2</w:t>
      </w:r>
      <w:r>
        <w:rPr>
          <w:rFonts w:hint="eastAsia" w:hAnsi="宋体"/>
          <w:bCs/>
          <w:color w:val="auto"/>
          <w:highlight w:val="none"/>
          <w:lang w:eastAsia="zh-CN"/>
        </w:rPr>
        <w:t>、</w:t>
      </w:r>
      <w:r>
        <w:rPr>
          <w:rFonts w:hint="eastAsia" w:hAnsi="宋体"/>
          <w:bCs/>
          <w:color w:val="auto"/>
          <w:highlight w:val="none"/>
        </w:rPr>
        <w:t>代理人身份证复印件（身份证两面均应复印）（注：①在有效期内；②由投标人法定代表人签署所有投标文件并参加投标的，则可不提供）。</w:t>
      </w:r>
    </w:p>
    <w:p w14:paraId="691C3768">
      <w:pPr>
        <w:keepLines w:val="0"/>
        <w:pageBreakBefore w:val="0"/>
        <w:kinsoku/>
        <w:overflowPunct/>
        <w:bidi w:val="0"/>
        <w:spacing w:line="360" w:lineRule="auto"/>
        <w:ind w:firstLine="338" w:firstLineChars="141"/>
        <w:rPr>
          <w:rFonts w:hAnsi="宋体"/>
          <w:bCs/>
          <w:color w:val="auto"/>
          <w:highlight w:val="none"/>
        </w:rPr>
      </w:pPr>
      <w:r>
        <w:rPr>
          <w:rFonts w:hint="eastAsia" w:hAnsi="宋体"/>
          <w:bCs/>
          <w:color w:val="auto"/>
          <w:highlight w:val="none"/>
        </w:rPr>
        <w:t>3</w:t>
      </w:r>
      <w:r>
        <w:rPr>
          <w:rFonts w:hint="eastAsia" w:hAnsi="宋体"/>
          <w:bCs/>
          <w:color w:val="auto"/>
          <w:highlight w:val="none"/>
          <w:lang w:eastAsia="zh-CN"/>
        </w:rPr>
        <w:t>、</w:t>
      </w:r>
      <w:r>
        <w:rPr>
          <w:rFonts w:hint="eastAsia" w:hAnsi="宋体"/>
          <w:bCs/>
          <w:color w:val="auto"/>
          <w:highlight w:val="none"/>
        </w:rPr>
        <w:t>法人授权书原件（注：①非法定代表人签署所有投标文件并参加投标的适用；②非独立法人机构提供相应的有授权资格的负责人授权书原件；③其签字或加盖法定代表人私人印章须</w:t>
      </w:r>
      <w:r>
        <w:rPr>
          <w:rFonts w:hint="eastAsia" w:hAnsi="宋体" w:cs="宋体"/>
          <w:color w:val="auto"/>
          <w:highlight w:val="none"/>
        </w:rPr>
        <w:t>与其相对应的身份证明文件[身份证复印件或护照复印件（外籍人士适用）]上姓名一致</w:t>
      </w:r>
      <w:r>
        <w:rPr>
          <w:rStyle w:val="60"/>
          <w:rFonts w:hint="eastAsia"/>
          <w:color w:val="auto"/>
          <w:highlight w:val="none"/>
        </w:rPr>
        <w:t>。）</w:t>
      </w:r>
    </w:p>
    <w:p w14:paraId="0A45514A">
      <w:pPr>
        <w:keepLines w:val="0"/>
        <w:pageBreakBefore w:val="0"/>
        <w:kinsoku/>
        <w:overflowPunct/>
        <w:bidi w:val="0"/>
        <w:spacing w:line="360" w:lineRule="auto"/>
        <w:ind w:firstLine="240" w:firstLineChars="100"/>
        <w:rPr>
          <w:rFonts w:hint="eastAsia" w:hAnsi="宋体" w:cs="宋体"/>
          <w:b/>
          <w:bCs/>
          <w:color w:val="auto"/>
          <w:highlight w:val="none"/>
        </w:rPr>
      </w:pPr>
      <w:r>
        <w:rPr>
          <w:rFonts w:hint="eastAsia" w:hAnsi="宋体" w:cs="宋体"/>
          <w:b w:val="0"/>
          <w:bCs w:val="0"/>
          <w:color w:val="auto"/>
          <w:highlight w:val="none"/>
          <w:lang w:val="en-US" w:eastAsia="zh-CN"/>
        </w:rPr>
        <w:t>4、</w:t>
      </w:r>
      <w:r>
        <w:rPr>
          <w:rFonts w:hint="eastAsia" w:hAnsi="宋体" w:cs="宋体"/>
          <w:color w:val="auto"/>
          <w:highlight w:val="none"/>
        </w:rPr>
        <w:t>本项目不接受联合体投标</w:t>
      </w:r>
      <w:r>
        <w:rPr>
          <w:rFonts w:hint="eastAsia" w:ascii="宋体" w:hAnsi="宋体" w:eastAsia="宋体" w:cs="宋体"/>
          <w:color w:val="auto"/>
          <w:highlight w:val="none"/>
          <w:lang w:val="en-US" w:eastAsia="zh-CN"/>
        </w:rPr>
        <w:t>。</w:t>
      </w:r>
    </w:p>
    <w:p w14:paraId="673BA84F">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二、应当提供的投标产品的资格、资质性及其他类似效力要求的相关证明材料</w:t>
      </w:r>
    </w:p>
    <w:p w14:paraId="4C811121">
      <w:pPr>
        <w:keepLines w:val="0"/>
        <w:pageBreakBefore w:val="0"/>
        <w:kinsoku/>
        <w:overflowPunct/>
        <w:bidi w:val="0"/>
        <w:adjustRightInd w:val="0"/>
        <w:snapToGrid w:val="0"/>
        <w:spacing w:line="360" w:lineRule="auto"/>
        <w:ind w:firstLine="480" w:firstLineChars="200"/>
        <w:rPr>
          <w:rFonts w:hint="eastAsia" w:hAnsi="宋体"/>
          <w:bCs/>
          <w:color w:val="auto"/>
          <w:highlight w:val="none"/>
          <w:lang w:eastAsia="zh-CN"/>
        </w:rPr>
      </w:pPr>
      <w:r>
        <w:rPr>
          <w:rFonts w:hint="eastAsia" w:hAnsi="宋体"/>
          <w:bCs/>
          <w:color w:val="auto"/>
          <w:highlight w:val="none"/>
          <w:lang w:eastAsia="zh-CN"/>
        </w:rPr>
        <w:t>无。</w:t>
      </w:r>
    </w:p>
    <w:p w14:paraId="3D07014D">
      <w:pPr>
        <w:keepLines w:val="0"/>
        <w:pageBreakBefore w:val="0"/>
        <w:kinsoku/>
        <w:overflowPunct/>
        <w:bidi w:val="0"/>
        <w:adjustRightInd w:val="0"/>
        <w:snapToGrid w:val="0"/>
        <w:spacing w:line="360" w:lineRule="auto"/>
        <w:ind w:firstLine="442" w:firstLineChars="200"/>
        <w:rPr>
          <w:rFonts w:hint="eastAsia" w:hAnsi="宋体" w:cs="宋体"/>
          <w:b/>
          <w:color w:val="auto"/>
          <w:sz w:val="22"/>
          <w:highlight w:val="none"/>
        </w:rPr>
      </w:pPr>
    </w:p>
    <w:p w14:paraId="7FDEC0BD">
      <w:pPr>
        <w:keepLines w:val="0"/>
        <w:pageBreakBefore w:val="0"/>
        <w:kinsoku/>
        <w:overflowPunct/>
        <w:bidi w:val="0"/>
        <w:adjustRightInd w:val="0"/>
        <w:snapToGrid w:val="0"/>
        <w:spacing w:line="360" w:lineRule="auto"/>
        <w:ind w:firstLine="442" w:firstLineChars="200"/>
        <w:rPr>
          <w:rFonts w:hint="eastAsia" w:hAnsi="宋体" w:cs="宋体"/>
          <w:b/>
          <w:color w:val="auto"/>
          <w:sz w:val="22"/>
          <w:highlight w:val="none"/>
        </w:rPr>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26" w:charSpace="0"/>
        </w:sectPr>
      </w:pPr>
      <w:r>
        <w:rPr>
          <w:rFonts w:hint="eastAsia" w:hAnsi="宋体" w:cs="宋体"/>
          <w:b/>
          <w:color w:val="auto"/>
          <w:sz w:val="22"/>
          <w:highlight w:val="none"/>
        </w:rPr>
        <w:t>说明：本章要求提供的相关证明材料应当与第四章的规定要求对应，除投标人自愿以外，不能要求投标人提供额外的证明材料。如果要求提供额外的证明材料，投标人有权不予提供，且不影响投标文件的有效性和完整性。</w:t>
      </w:r>
    </w:p>
    <w:p w14:paraId="1D8BDCC9">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68" w:name="_Toc7890"/>
      <w:bookmarkStart w:id="169" w:name="_Toc217446093"/>
      <w:bookmarkStart w:id="170" w:name="_Toc20583"/>
      <w:bookmarkStart w:id="171" w:name="_Toc20281"/>
      <w:r>
        <w:rPr>
          <w:rFonts w:hint="eastAsia" w:ascii="Cambria" w:hAnsi="Cambria" w:eastAsia="宋体" w:cs="Times New Roman"/>
          <w:b/>
          <w:bCs/>
          <w:color w:val="auto"/>
          <w:kern w:val="32"/>
          <w:sz w:val="32"/>
          <w:szCs w:val="32"/>
          <w:highlight w:val="none"/>
          <w:lang w:val="en-US" w:eastAsia="zh-CN" w:bidi="ar-SA"/>
        </w:rPr>
        <w:t xml:space="preserve">第六章 </w:t>
      </w:r>
      <w:bookmarkEnd w:id="168"/>
      <w:bookmarkEnd w:id="169"/>
      <w:bookmarkEnd w:id="170"/>
      <w:bookmarkStart w:id="172" w:name="_Toc217446094"/>
      <w:r>
        <w:rPr>
          <w:rFonts w:hint="eastAsia" w:ascii="Cambria" w:hAnsi="Cambria" w:eastAsia="宋体" w:cs="Times New Roman"/>
          <w:b/>
          <w:bCs/>
          <w:color w:val="auto"/>
          <w:kern w:val="32"/>
          <w:sz w:val="32"/>
          <w:szCs w:val="32"/>
          <w:highlight w:val="none"/>
          <w:lang w:val="en-US" w:eastAsia="zh-CN" w:bidi="ar-SA"/>
        </w:rPr>
        <w:t>技术、服务、政府采购履约主要条款及其他要求条款</w:t>
      </w:r>
      <w:bookmarkEnd w:id="171"/>
    </w:p>
    <w:bookmarkEnd w:id="172"/>
    <w:p w14:paraId="27FD8360">
      <w:pPr>
        <w:widowControl w:val="0"/>
        <w:spacing w:line="360" w:lineRule="auto"/>
        <w:jc w:val="both"/>
        <w:rPr>
          <w:rFonts w:hint="eastAsia" w:ascii="宋体" w:hAnsi="宋体" w:eastAsia="宋体" w:cs="宋体"/>
          <w:b/>
          <w:bCs/>
          <w:color w:val="auto"/>
          <w:kern w:val="0"/>
          <w:sz w:val="28"/>
          <w:szCs w:val="20"/>
          <w:highlight w:val="none"/>
        </w:rPr>
      </w:pPr>
      <w:bookmarkStart w:id="173" w:name="_Toc10567"/>
      <w:bookmarkStart w:id="174" w:name="_Toc217446096"/>
      <w:bookmarkStart w:id="175" w:name="_Toc572"/>
      <w:bookmarkStart w:id="176" w:name="_Toc13409"/>
      <w:r>
        <w:rPr>
          <w:rFonts w:hint="eastAsia" w:ascii="宋体" w:hAnsi="宋体" w:eastAsia="宋体" w:cs="宋体"/>
          <w:b/>
          <w:bCs w:val="0"/>
          <w:color w:val="000000"/>
          <w:kern w:val="2"/>
          <w:sz w:val="24"/>
          <w:szCs w:val="24"/>
          <w:highlight w:val="none"/>
          <w:lang w:val="en-US" w:eastAsia="zh-CN" w:bidi="ar-SA"/>
        </w:rPr>
        <w:t>★</w:t>
      </w:r>
      <w:r>
        <w:rPr>
          <w:rFonts w:hint="eastAsia" w:ascii="宋体" w:hAnsi="宋体" w:eastAsia="宋体" w:cs="宋体"/>
          <w:b/>
          <w:bCs/>
          <w:color w:val="auto"/>
          <w:kern w:val="0"/>
          <w:sz w:val="28"/>
          <w:szCs w:val="20"/>
          <w:highlight w:val="none"/>
        </w:rPr>
        <w:t>一、项目介绍</w:t>
      </w:r>
    </w:p>
    <w:p w14:paraId="6D96D3C0">
      <w:pPr>
        <w:suppressAutoHyphens/>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val="en-US" w:eastAsia="zh-CN"/>
        </w:rPr>
        <w:t>项目</w:t>
      </w:r>
      <w:r>
        <w:rPr>
          <w:rFonts w:hint="eastAsia" w:ascii="宋体" w:hAnsi="宋体" w:eastAsia="宋体" w:cs="宋体"/>
          <w:color w:val="auto"/>
          <w:kern w:val="0"/>
          <w:sz w:val="24"/>
          <w:szCs w:val="20"/>
          <w:highlight w:val="none"/>
        </w:rPr>
        <w:t>名称：</w:t>
      </w:r>
      <w:r>
        <w:rPr>
          <w:rFonts w:hint="eastAsia" w:ascii="宋体" w:hAnsi="宋体" w:eastAsia="宋体" w:cs="宋体"/>
          <w:color w:val="auto"/>
          <w:kern w:val="0"/>
          <w:sz w:val="24"/>
          <w:szCs w:val="20"/>
          <w:highlight w:val="none"/>
          <w:lang w:eastAsia="zh-CN"/>
        </w:rPr>
        <w:t>四川省凉山州西昌市消防救援大队体能训练精细化管理建设评估项目</w:t>
      </w:r>
      <w:r>
        <w:rPr>
          <w:rFonts w:hint="eastAsia" w:ascii="宋体" w:hAnsi="宋体" w:eastAsia="宋体" w:cs="宋体"/>
          <w:color w:val="auto"/>
          <w:kern w:val="0"/>
          <w:sz w:val="24"/>
          <w:szCs w:val="20"/>
          <w:highlight w:val="none"/>
        </w:rPr>
        <w:t>；</w:t>
      </w:r>
    </w:p>
    <w:p w14:paraId="29D8B40D">
      <w:pPr>
        <w:spacing w:line="360" w:lineRule="auto"/>
        <w:ind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i w:val="0"/>
          <w:iCs w:val="0"/>
          <w:color w:val="000000"/>
          <w:kern w:val="0"/>
          <w:sz w:val="24"/>
          <w:szCs w:val="24"/>
          <w:u w:val="none"/>
          <w:lang w:val="en-US" w:eastAsia="zh-CN" w:bidi="ar"/>
        </w:rPr>
        <w:t>采购单位：</w:t>
      </w:r>
      <w:r>
        <w:rPr>
          <w:rFonts w:hint="eastAsia" w:ascii="宋体" w:hAnsi="宋体" w:eastAsia="宋体" w:cs="宋体"/>
          <w:color w:val="auto"/>
          <w:kern w:val="0"/>
          <w:sz w:val="24"/>
          <w:szCs w:val="20"/>
          <w:highlight w:val="none"/>
          <w:lang w:eastAsia="zh-CN"/>
        </w:rPr>
        <w:t>西昌市消防救援大队</w:t>
      </w:r>
    </w:p>
    <w:p w14:paraId="5D159717">
      <w:pPr>
        <w:spacing w:line="360" w:lineRule="auto"/>
        <w:ind w:firstLine="480" w:firstLineChars="200"/>
        <w:rPr>
          <w:rFonts w:hint="default"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i w:val="0"/>
          <w:iCs w:val="0"/>
          <w:color w:val="000000"/>
          <w:kern w:val="0"/>
          <w:sz w:val="24"/>
          <w:szCs w:val="24"/>
          <w:u w:val="none"/>
          <w:lang w:val="en-US" w:eastAsia="zh-CN" w:bidi="ar"/>
        </w:rPr>
        <w:t>预算金额：260000.00元</w:t>
      </w:r>
    </w:p>
    <w:p w14:paraId="2FEE6C5D">
      <w:pPr>
        <w:spacing w:line="360" w:lineRule="auto"/>
        <w:ind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w:t>
      </w:r>
      <w:r>
        <w:rPr>
          <w:rFonts w:hint="eastAsia" w:ascii="宋体" w:hAnsi="宋体" w:eastAsia="宋体" w:cs="宋体"/>
          <w:i w:val="0"/>
          <w:iCs w:val="0"/>
          <w:color w:val="000000"/>
          <w:kern w:val="0"/>
          <w:sz w:val="24"/>
          <w:szCs w:val="24"/>
          <w:u w:val="none"/>
          <w:lang w:val="en-US" w:eastAsia="zh-CN" w:bidi="ar"/>
        </w:rPr>
        <w:t>项目类别：</w:t>
      </w:r>
      <w:r>
        <w:rPr>
          <w:rFonts w:hint="eastAsia" w:ascii="宋体" w:hAnsi="宋体" w:eastAsia="宋体" w:cs="宋体"/>
          <w:color w:val="auto"/>
          <w:kern w:val="0"/>
          <w:sz w:val="24"/>
          <w:szCs w:val="20"/>
          <w:highlight w:val="none"/>
          <w:lang w:val="en-US" w:eastAsia="zh-CN"/>
        </w:rPr>
        <w:t>货物；对应中小企业行业划分为：工业。</w:t>
      </w:r>
    </w:p>
    <w:p w14:paraId="65A0F3BD">
      <w:pPr>
        <w:spacing w:line="360" w:lineRule="auto"/>
        <w:ind w:firstLine="480" w:firstLineChars="200"/>
        <w:rPr>
          <w:rFonts w:hint="eastAsia" w:ascii="宋体" w:hAnsi="宋体" w:eastAsia="宋体" w:cs="宋体"/>
          <w:b/>
          <w:bCs/>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5、本项目核心产品为：</w:t>
      </w:r>
      <w:r>
        <w:rPr>
          <w:rFonts w:hint="eastAsia" w:ascii="宋体" w:hAnsi="宋体" w:eastAsia="宋体" w:cs="宋体"/>
          <w:b/>
          <w:bCs/>
          <w:color w:val="auto"/>
          <w:kern w:val="0"/>
          <w:sz w:val="24"/>
          <w:szCs w:val="20"/>
          <w:highlight w:val="none"/>
          <w:lang w:val="en-US" w:eastAsia="zh-CN"/>
        </w:rPr>
        <w:t>综合体能评估系统</w:t>
      </w:r>
    </w:p>
    <w:p w14:paraId="21908D9D">
      <w:pPr>
        <w:spacing w:line="360" w:lineRule="auto"/>
        <w:ind w:firstLine="482" w:firstLineChars="200"/>
        <w:rPr>
          <w:rFonts w:hint="eastAsia" w:ascii="宋体" w:hAnsi="宋体" w:eastAsia="宋体" w:cs="宋体"/>
          <w:b/>
          <w:bCs/>
          <w:color w:val="auto"/>
          <w:kern w:val="0"/>
          <w:sz w:val="24"/>
          <w:szCs w:val="20"/>
          <w:highlight w:val="none"/>
          <w:lang w:val="en-US" w:eastAsia="zh-CN"/>
        </w:rPr>
      </w:pPr>
    </w:p>
    <w:p w14:paraId="0FB6B12E">
      <w:pPr>
        <w:widowControl w:val="0"/>
        <w:spacing w:line="360" w:lineRule="auto"/>
        <w:jc w:val="both"/>
        <w:rPr>
          <w:rFonts w:hint="eastAsia" w:ascii="宋体" w:hAnsi="宋体" w:eastAsia="宋体" w:cs="宋体"/>
          <w:b/>
          <w:bCs/>
          <w:color w:val="auto"/>
          <w:kern w:val="0"/>
          <w:sz w:val="28"/>
          <w:szCs w:val="20"/>
          <w:highlight w:val="none"/>
        </w:rPr>
      </w:pPr>
    </w:p>
    <w:p w14:paraId="04FF2676">
      <w:pPr>
        <w:widowControl w:val="0"/>
        <w:spacing w:line="360" w:lineRule="auto"/>
        <w:jc w:val="both"/>
        <w:rPr>
          <w:rFonts w:hint="eastAsia" w:ascii="宋体" w:hAnsi="宋体" w:eastAsia="宋体" w:cs="宋体"/>
          <w:b/>
          <w:bCs/>
          <w:color w:val="auto"/>
          <w:kern w:val="0"/>
          <w:sz w:val="28"/>
          <w:szCs w:val="20"/>
          <w:highlight w:val="none"/>
        </w:rPr>
      </w:pPr>
      <w:r>
        <w:rPr>
          <w:rFonts w:hint="eastAsia" w:ascii="宋体" w:hAnsi="宋体" w:eastAsia="宋体" w:cs="宋体"/>
          <w:b/>
          <w:bCs/>
          <w:color w:val="auto"/>
          <w:kern w:val="0"/>
          <w:sz w:val="28"/>
          <w:szCs w:val="20"/>
          <w:highlight w:val="none"/>
        </w:rPr>
        <w:t>二、项目技术指标</w:t>
      </w:r>
    </w:p>
    <w:tbl>
      <w:tblPr>
        <w:tblStyle w:val="48"/>
        <w:tblW w:w="8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8"/>
        <w:gridCol w:w="673"/>
        <w:gridCol w:w="5377"/>
        <w:gridCol w:w="404"/>
        <w:gridCol w:w="446"/>
        <w:gridCol w:w="679"/>
      </w:tblGrid>
      <w:tr w14:paraId="38DE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488" w:type="dxa"/>
            <w:tcBorders>
              <w:top w:val="single" w:color="000000" w:sz="4" w:space="0"/>
              <w:left w:val="single" w:color="000000" w:sz="4" w:space="0"/>
              <w:bottom w:val="single" w:color="000000" w:sz="4" w:space="0"/>
              <w:right w:val="single" w:color="000000" w:sz="4" w:space="0"/>
            </w:tcBorders>
            <w:noWrap w:val="0"/>
            <w:vAlign w:val="center"/>
          </w:tcPr>
          <w:p w14:paraId="6BC57BD9">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57DB187B">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标的名称</w:t>
            </w:r>
          </w:p>
        </w:tc>
        <w:tc>
          <w:tcPr>
            <w:tcW w:w="5377" w:type="dxa"/>
            <w:tcBorders>
              <w:top w:val="single" w:color="000000" w:sz="4" w:space="0"/>
              <w:left w:val="single" w:color="000000" w:sz="4" w:space="0"/>
              <w:bottom w:val="single" w:color="000000" w:sz="4" w:space="0"/>
              <w:right w:val="single" w:color="000000" w:sz="4" w:space="0"/>
            </w:tcBorders>
            <w:noWrap w:val="0"/>
            <w:vAlign w:val="center"/>
          </w:tcPr>
          <w:p w14:paraId="21E8644B">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参数</w:t>
            </w:r>
          </w:p>
        </w:tc>
        <w:tc>
          <w:tcPr>
            <w:tcW w:w="404" w:type="dxa"/>
            <w:tcBorders>
              <w:top w:val="single" w:color="000000" w:sz="4" w:space="0"/>
              <w:left w:val="single" w:color="000000" w:sz="4" w:space="0"/>
              <w:bottom w:val="single" w:color="000000" w:sz="4" w:space="0"/>
              <w:right w:val="single" w:color="000000" w:sz="4" w:space="0"/>
            </w:tcBorders>
            <w:noWrap w:val="0"/>
            <w:vAlign w:val="center"/>
          </w:tcPr>
          <w:p w14:paraId="1D5614FE">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446" w:type="dxa"/>
            <w:tcBorders>
              <w:top w:val="single" w:color="000000" w:sz="4" w:space="0"/>
              <w:left w:val="single" w:color="000000" w:sz="4" w:space="0"/>
              <w:bottom w:val="single" w:color="000000" w:sz="4" w:space="0"/>
              <w:right w:val="single" w:color="000000" w:sz="4" w:space="0"/>
            </w:tcBorders>
            <w:noWrap w:val="0"/>
            <w:vAlign w:val="center"/>
          </w:tcPr>
          <w:p w14:paraId="5E748F52">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14:paraId="7C325631">
            <w:pPr>
              <w:keepNext w:val="0"/>
              <w:keepLines w:val="0"/>
              <w:widowControl/>
              <w:suppressLineNumbers w:val="0"/>
              <w:jc w:val="both"/>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单价限价</w:t>
            </w:r>
          </w:p>
        </w:tc>
      </w:tr>
      <w:tr w14:paraId="1F9C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8" w:type="dxa"/>
            <w:tcBorders>
              <w:top w:val="single" w:color="000000" w:sz="4" w:space="0"/>
              <w:left w:val="single" w:color="000000" w:sz="4" w:space="0"/>
              <w:bottom w:val="single" w:color="000000" w:sz="4" w:space="0"/>
              <w:right w:val="single" w:color="000000" w:sz="4" w:space="0"/>
            </w:tcBorders>
            <w:noWrap w:val="0"/>
            <w:vAlign w:val="center"/>
          </w:tcPr>
          <w:p w14:paraId="01E5166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05B764D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综合体能评估系统</w:t>
            </w:r>
          </w:p>
          <w:p w14:paraId="41D92FB2">
            <w:pPr>
              <w:keepNext w:val="0"/>
              <w:keepLines w:val="0"/>
              <w:widowControl/>
              <w:suppressLineNumbers w:val="0"/>
              <w:jc w:val="both"/>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w:t>
            </w:r>
            <w:r>
              <w:rPr>
                <w:rFonts w:hint="eastAsia" w:ascii="宋体" w:hAnsi="宋体" w:eastAsia="宋体" w:cs="宋体"/>
                <w:i w:val="0"/>
                <w:iCs w:val="0"/>
                <w:color w:val="000000"/>
                <w:sz w:val="21"/>
                <w:szCs w:val="21"/>
                <w:u w:val="none"/>
                <w:lang w:val="en-US" w:eastAsia="zh-CN"/>
              </w:rPr>
              <w:t>核心产品</w:t>
            </w:r>
            <w:r>
              <w:rPr>
                <w:rFonts w:hint="eastAsia" w:ascii="宋体" w:hAnsi="宋体" w:eastAsia="宋体" w:cs="宋体"/>
                <w:i w:val="0"/>
                <w:iCs w:val="0"/>
                <w:color w:val="000000"/>
                <w:sz w:val="21"/>
                <w:szCs w:val="21"/>
                <w:u w:val="none"/>
                <w:lang w:eastAsia="zh-CN"/>
              </w:rPr>
              <w:t>）</w:t>
            </w:r>
          </w:p>
        </w:tc>
        <w:tc>
          <w:tcPr>
            <w:tcW w:w="5377" w:type="dxa"/>
            <w:tcBorders>
              <w:top w:val="single" w:color="000000" w:sz="4" w:space="0"/>
              <w:left w:val="single" w:color="000000" w:sz="4" w:space="0"/>
              <w:bottom w:val="single" w:color="000000" w:sz="4" w:space="0"/>
              <w:right w:val="single" w:color="000000" w:sz="4" w:space="0"/>
            </w:tcBorders>
            <w:noWrap w:val="0"/>
            <w:vAlign w:val="center"/>
          </w:tcPr>
          <w:p w14:paraId="4B98C4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★1、设备配置包括并不低于可视化交互平台1台、设备底座1个、数据中级路由器1个、电源线1根、网线1根、传感器2套、绑带2套、多位充电模块2个、穿戴设备手提箱2个</w:t>
            </w:r>
          </w:p>
          <w:p w14:paraId="5A96BAD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综合体能评估系统应具备综合体能测试功能，导出数据包括运动数据统计、运动成绩评级、完成状态、肌肉力量分析、体能分析、关节损伤分析、动态体态分析、课程推荐、运动损伤预防建议、身体姿态纠正建议等；</w:t>
            </w:r>
          </w:p>
          <w:p w14:paraId="6EC4E60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3、通过对≥8个特定动作的身体姿态和运动学数据采集进行动态体能测试，采集各个部位的空间姿态、加速度、关节角度、角速度、伸展幅度、冲击力等参数；</w:t>
            </w:r>
          </w:p>
          <w:p w14:paraId="57D7AC6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系统应采用无线传感器进行动作数据采集，智能穿戴设备的无线传感器数量≥10个，每个传感器应集成加速度计、磁力计、陀螺仪等，并能通过多传感器融合算法，得到人体空间姿态，并进行远程无线数据传输，与上位机配合分析人的重心运动轨迹及人体的运动姿态；</w:t>
            </w:r>
          </w:p>
          <w:p w14:paraId="4B723D8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5、综合体能评估系统应具备高清触摸交互显示屏，尺寸≥49英寸，交互屏用于人机交互、实时显示功能；</w:t>
            </w:r>
          </w:p>
          <w:p w14:paraId="6D5A968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▲6、动作传感器穿戴方式：可调节智能绑带，调节范围应覆盖1.1-2.2米身高，绑带数量：≥5组；传感器数量:≥10块；</w:t>
            </w:r>
          </w:p>
          <w:p w14:paraId="49B2F1C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▲7、嵌入式传感器尺寸：≤25mm*10mm*5mm，数量≥五个；</w:t>
            </w:r>
          </w:p>
          <w:p w14:paraId="608D7D1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★8、传感器无线发射模块尺寸：≤37mm*37mm*14mm，重量≤30g，数量≥五个；</w:t>
            </w:r>
          </w:p>
          <w:p w14:paraId="5E3104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 xml:space="preserve">9、嵌入式传感器重量：≤1.5g； </w:t>
            </w:r>
          </w:p>
          <w:p w14:paraId="798044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10、传感器电池锂聚合物电池，充电方式：USBtype-c</w:t>
            </w:r>
          </w:p>
          <w:p w14:paraId="0CFB9E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▲11、可支持≥5个传感器同时充电</w:t>
            </w:r>
          </w:p>
          <w:p w14:paraId="64115139">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i w:val="0"/>
                <w:iCs w:val="0"/>
                <w:color w:val="000000"/>
                <w:sz w:val="21"/>
                <w:szCs w:val="21"/>
                <w:u w:val="none"/>
              </w:rPr>
              <w:t>▲12、综合体能测试动作需包含综合体能≥8项，应包含:反应时、原地跳跃、俯卧撑、仰卧起坐、立位体前屈、原地快跑、单脚站立、高抬腿；反应时应能显示最快反应时间、击中率；原地跳跃应能显示平均跳跃高度，身体伸展幅度；俯卧撑应能显示测试个数、平均速度、平均身体高度；仰卧起坐应能显示测试个数，平均速度、平均身体角度；立位体前屈应能显示最大前屈角度、左右腿偏差角度；闭眼单脚站立应能显示最长稳定时间、达到稳定时间点；原地快跑应能显示测试频次、最大速度、平均速度；高抬腿应能显示频次、左右腿平均角速；</w:t>
            </w:r>
            <w:r>
              <w:rPr>
                <w:rFonts w:hint="eastAsia" w:ascii="宋体" w:hAnsi="宋体" w:eastAsia="宋体" w:cs="宋体"/>
                <w:b/>
                <w:bCs/>
                <w:i w:val="0"/>
                <w:iCs w:val="0"/>
                <w:color w:val="000000"/>
                <w:sz w:val="21"/>
                <w:szCs w:val="21"/>
                <w:u w:val="none"/>
                <w:lang w:eastAsia="zh-CN"/>
              </w:rPr>
              <w:t>（提供具有CMA标识的第三方检测机构出具的检测报告或产品白皮书；并加盖供应商公章）</w:t>
            </w:r>
          </w:p>
          <w:p w14:paraId="3A3CAC87">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i w:val="0"/>
                <w:iCs w:val="0"/>
                <w:color w:val="000000"/>
                <w:sz w:val="21"/>
                <w:szCs w:val="21"/>
                <w:u w:val="none"/>
              </w:rPr>
              <w:t>▲13、输出报告的功能模式；支持体测报告的本地化查询和打印；提供智能分析报告；支持联网微信获取报告；后台数据管理：应支持同网络下的数据报告导出至pc端；</w:t>
            </w:r>
            <w:r>
              <w:rPr>
                <w:rFonts w:hint="eastAsia" w:ascii="宋体" w:hAnsi="宋体" w:eastAsia="宋体" w:cs="宋体"/>
                <w:b/>
                <w:bCs/>
                <w:i w:val="0"/>
                <w:iCs w:val="0"/>
                <w:color w:val="000000"/>
                <w:sz w:val="21"/>
                <w:szCs w:val="21"/>
                <w:u w:val="none"/>
                <w:lang w:eastAsia="zh-CN"/>
              </w:rPr>
              <w:t>（提供具有CMA标识的第三方检测机构出具的检测报告或产品白皮书；并加盖供应商公章）</w:t>
            </w:r>
          </w:p>
          <w:p w14:paraId="487D29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★14、综合体能测试报告需包含：运动数据统计、运动成绩评级、运动表现分析、关节损伤分析（肩、肘、髋、膝、踝等的关节冲击指数和关节损伤风险系数）、肌肉力量分析（上肢、大腿、小腿</w:t>
            </w:r>
            <w:r>
              <w:rPr>
                <w:rFonts w:hint="eastAsia" w:ascii="宋体" w:hAnsi="宋体" w:eastAsia="宋体" w:cs="宋体"/>
                <w:i w:val="0"/>
                <w:iCs w:val="0"/>
                <w:color w:val="000000"/>
                <w:sz w:val="21"/>
                <w:szCs w:val="21"/>
                <w:u w:val="none"/>
                <w:lang w:eastAsia="zh-CN"/>
              </w:rPr>
              <w:t>、</w:t>
            </w:r>
            <w:r>
              <w:rPr>
                <w:rFonts w:hint="eastAsia" w:ascii="宋体" w:hAnsi="宋体" w:eastAsia="宋体" w:cs="宋体"/>
                <w:i w:val="0"/>
                <w:iCs w:val="0"/>
                <w:color w:val="000000"/>
                <w:sz w:val="21"/>
                <w:szCs w:val="21"/>
                <w:u w:val="none"/>
              </w:rPr>
              <w:t>背部、胸部、腰腹、臀部等分析）、体能分析（平衡性、协调性、反应时、爆发力、速度、灵敏等分析）、动态体态分析（肩膀、骨盆、脊柱、背部、膝盖、足部等分析）、训练建议等；</w:t>
            </w:r>
          </w:p>
          <w:p w14:paraId="18413B0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▲15、惯性动作捕捉传感器：内置九轴传感器，捕捉测试者运动数据，完成体适能测试，精准化数据采集；</w:t>
            </w:r>
          </w:p>
          <w:p w14:paraId="1088B71C">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i w:val="0"/>
                <w:iCs w:val="0"/>
                <w:color w:val="000000"/>
                <w:sz w:val="21"/>
                <w:szCs w:val="21"/>
                <w:u w:val="none"/>
              </w:rPr>
              <w:t>▲16、传输：应支持 wifi 无线传输技术和有线网络；语音指导：应能根据语音提示完成测试；单机使用：应可以单机使用，自动记录测试成绩，储存备份测试数据；</w:t>
            </w:r>
            <w:r>
              <w:rPr>
                <w:rFonts w:hint="eastAsia" w:ascii="宋体" w:hAnsi="宋体" w:eastAsia="宋体" w:cs="宋体"/>
                <w:b/>
                <w:bCs/>
                <w:i w:val="0"/>
                <w:iCs w:val="0"/>
                <w:color w:val="000000"/>
                <w:sz w:val="21"/>
                <w:szCs w:val="21"/>
                <w:u w:val="none"/>
                <w:lang w:eastAsia="zh-CN"/>
              </w:rPr>
              <w:t>（提供具有CMA标识的第三方检测机构出具的检测报告或产品白皮书；并加盖供应商公章）</w:t>
            </w:r>
          </w:p>
          <w:p w14:paraId="5830A0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17、登录信息输入：编号范围应能输入0～18位数</w:t>
            </w:r>
          </w:p>
          <w:p w14:paraId="56A238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18、年龄范围应能输入4～99岁、身高范围应能输入80cm～250cm、体重范围应能输入10kg～200kg；</w:t>
            </w:r>
          </w:p>
          <w:p w14:paraId="23F3A6BA">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i w:val="0"/>
                <w:iCs w:val="0"/>
                <w:color w:val="000000"/>
                <w:sz w:val="21"/>
                <w:szCs w:val="21"/>
                <w:u w:val="none"/>
              </w:rPr>
              <w:t>▲19、等级显示：应能显示完成状态、整体测试等级SABCDE；肌肉力量分析：应能显示上肢、胸部、腰腹、背部、大腿、小腿、臀部肌肉力量等级SABCDE；运动能力等级雷达图：应能显示爆发力、灵敏度、平衡感、速度、协调性、反应；</w:t>
            </w:r>
            <w:r>
              <w:rPr>
                <w:rFonts w:hint="eastAsia" w:ascii="宋体" w:hAnsi="宋体" w:eastAsia="宋体" w:cs="宋体"/>
                <w:b/>
                <w:bCs/>
                <w:i w:val="0"/>
                <w:iCs w:val="0"/>
                <w:color w:val="000000"/>
                <w:sz w:val="21"/>
                <w:szCs w:val="21"/>
                <w:u w:val="none"/>
                <w:lang w:eastAsia="zh-CN"/>
              </w:rPr>
              <w:t>（提供具有CMA标识的第三方检测机构出具的检测报告或产品白皮书；并加盖供应商公章）</w:t>
            </w:r>
          </w:p>
          <w:p w14:paraId="37221AF4">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i w:val="0"/>
                <w:iCs w:val="0"/>
                <w:color w:val="000000"/>
                <w:sz w:val="21"/>
                <w:szCs w:val="21"/>
                <w:u w:val="none"/>
              </w:rPr>
              <w:t>▲20、关节损伤分析应能显示左右肩、肘、髋、膝、踝损伤系数、冲击指数；动态体态反馈应能显示肩部、骨盆、脊柱、背部、膝盖、足部，驼背风险、圆肩风险、骨骼形态评价，肌肉评价；</w:t>
            </w:r>
            <w:r>
              <w:rPr>
                <w:rFonts w:hint="eastAsia" w:ascii="宋体" w:hAnsi="宋体" w:eastAsia="宋体" w:cs="宋体"/>
                <w:b/>
                <w:bCs/>
                <w:i w:val="0"/>
                <w:iCs w:val="0"/>
                <w:color w:val="000000"/>
                <w:sz w:val="21"/>
                <w:szCs w:val="21"/>
                <w:u w:val="none"/>
                <w:lang w:eastAsia="zh-CN"/>
              </w:rPr>
              <w:t>（提供具有CMA标识的第三方检测机构出具的检测报告或产品白皮书；并加盖供应商公章）</w:t>
            </w:r>
          </w:p>
          <w:p w14:paraId="0BD52F63">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i w:val="0"/>
                <w:iCs w:val="0"/>
                <w:color w:val="000000"/>
                <w:sz w:val="21"/>
                <w:szCs w:val="21"/>
                <w:u w:val="none"/>
              </w:rPr>
              <w:t>▲21、图表式界面应能显示实时动态曲线展示，实时动态折线图展示、实时重心轨迹图展示、实时重心方向展示、实时支撑角曲线、实时双臂加速度曲线、实时双腿加速度曲线、实时肘关节夹角曲线、肌肉部位展示；</w:t>
            </w:r>
            <w:r>
              <w:rPr>
                <w:rFonts w:hint="eastAsia" w:ascii="宋体" w:hAnsi="宋体" w:eastAsia="宋体" w:cs="宋体"/>
                <w:b/>
                <w:bCs/>
                <w:i w:val="0"/>
                <w:iCs w:val="0"/>
                <w:color w:val="000000"/>
                <w:sz w:val="21"/>
                <w:szCs w:val="21"/>
                <w:u w:val="none"/>
                <w:lang w:eastAsia="zh-CN"/>
              </w:rPr>
              <w:t>（提供具有CMA标识的第三方检测机构出具的检测报告或产品白皮书；并加盖供应商公章）</w:t>
            </w:r>
          </w:p>
          <w:p w14:paraId="6D4AF76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 xml:space="preserve">22、交互平台：规格尺寸≥740mm×420mm×1900mm； </w:t>
            </w:r>
          </w:p>
          <w:p w14:paraId="22CDE7D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23、应支持不少于3种不同型号打印机数据输出；</w:t>
            </w:r>
          </w:p>
        </w:tc>
        <w:tc>
          <w:tcPr>
            <w:tcW w:w="404" w:type="dxa"/>
            <w:tcBorders>
              <w:top w:val="single" w:color="000000" w:sz="4" w:space="0"/>
              <w:left w:val="single" w:color="000000" w:sz="4" w:space="0"/>
              <w:bottom w:val="single" w:color="000000" w:sz="4" w:space="0"/>
              <w:right w:val="single" w:color="000000" w:sz="4" w:space="0"/>
            </w:tcBorders>
            <w:noWrap w:val="0"/>
            <w:vAlign w:val="center"/>
          </w:tcPr>
          <w:p w14:paraId="1172A8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套</w:t>
            </w:r>
          </w:p>
        </w:tc>
        <w:tc>
          <w:tcPr>
            <w:tcW w:w="446" w:type="dxa"/>
            <w:tcBorders>
              <w:top w:val="single" w:color="000000" w:sz="4" w:space="0"/>
              <w:left w:val="single" w:color="000000" w:sz="4" w:space="0"/>
              <w:bottom w:val="single" w:color="000000" w:sz="4" w:space="0"/>
              <w:right w:val="single" w:color="000000" w:sz="4" w:space="0"/>
            </w:tcBorders>
            <w:noWrap w:val="0"/>
            <w:vAlign w:val="center"/>
          </w:tcPr>
          <w:p w14:paraId="12C979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14:paraId="1D0E2A2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170000</w:t>
            </w:r>
          </w:p>
        </w:tc>
      </w:tr>
      <w:tr w14:paraId="36174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8" w:type="dxa"/>
            <w:tcBorders>
              <w:top w:val="single" w:color="000000" w:sz="4" w:space="0"/>
              <w:left w:val="single" w:color="000000" w:sz="4" w:space="0"/>
              <w:bottom w:val="single" w:color="000000" w:sz="4" w:space="0"/>
              <w:right w:val="single" w:color="000000" w:sz="4" w:space="0"/>
            </w:tcBorders>
            <w:noWrap w:val="0"/>
            <w:vAlign w:val="center"/>
          </w:tcPr>
          <w:p w14:paraId="0DF466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0457978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团队运动监测系统</w:t>
            </w:r>
          </w:p>
        </w:tc>
        <w:tc>
          <w:tcPr>
            <w:tcW w:w="5377" w:type="dxa"/>
            <w:tcBorders>
              <w:top w:val="single" w:color="000000" w:sz="4" w:space="0"/>
              <w:left w:val="single" w:color="000000" w:sz="4" w:space="0"/>
              <w:bottom w:val="single" w:color="000000" w:sz="4" w:space="0"/>
              <w:right w:val="single" w:color="000000" w:sz="4" w:space="0"/>
            </w:tcBorders>
            <w:noWrap w:val="0"/>
            <w:vAlign w:val="center"/>
          </w:tcPr>
          <w:p w14:paraId="1D639DC5">
            <w:pPr>
              <w:keepNext w:val="0"/>
              <w:keepLines w:val="0"/>
              <w:widowControl/>
              <w:suppressLineNumbers w:val="0"/>
              <w:jc w:val="both"/>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rPr>
              <w:t>设备配置</w:t>
            </w:r>
            <w:r>
              <w:rPr>
                <w:rFonts w:hint="eastAsia" w:ascii="宋体" w:hAnsi="宋体" w:eastAsia="宋体" w:cs="宋体"/>
                <w:i w:val="0"/>
                <w:iCs w:val="0"/>
                <w:color w:val="000000"/>
                <w:sz w:val="21"/>
                <w:szCs w:val="21"/>
                <w:u w:val="none"/>
                <w:lang w:eastAsia="zh-CN"/>
              </w:rPr>
              <w:t>：</w:t>
            </w:r>
          </w:p>
          <w:p w14:paraId="27B1FF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w:t>
            </w:r>
            <w:r>
              <w:rPr>
                <w:rFonts w:hint="eastAsia" w:ascii="宋体" w:hAnsi="宋体" w:eastAsia="宋体" w:cs="宋体"/>
                <w:i w:val="0"/>
                <w:iCs w:val="0"/>
                <w:color w:val="000000"/>
                <w:sz w:val="21"/>
                <w:szCs w:val="21"/>
                <w:u w:val="none"/>
              </w:rPr>
              <w:t>、包括并不低于团队数据收集箱1只、数据箱充电器1个、心率采集器25个、心率采集器腕带25个、运动负荷监测系统（EAP系统）1套、操作终端1个</w:t>
            </w:r>
          </w:p>
          <w:p w14:paraId="3CC677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团队数据收集箱</w:t>
            </w:r>
          </w:p>
          <w:p w14:paraId="6018861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w:t>
            </w:r>
            <w:r>
              <w:rPr>
                <w:rFonts w:hint="eastAsia" w:ascii="宋体" w:hAnsi="宋体" w:eastAsia="宋体" w:cs="宋体"/>
                <w:i w:val="0"/>
                <w:iCs w:val="0"/>
                <w:color w:val="000000"/>
                <w:sz w:val="21"/>
                <w:szCs w:val="21"/>
                <w:u w:val="none"/>
              </w:rPr>
              <w:t>外箱尺寸：≥484*375*178MM，外箱材质：工程PP</w:t>
            </w:r>
          </w:p>
          <w:p w14:paraId="4A1D859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3.</w:t>
            </w:r>
            <w:r>
              <w:rPr>
                <w:rFonts w:hint="eastAsia" w:ascii="宋体" w:hAnsi="宋体" w:eastAsia="宋体" w:cs="宋体"/>
                <w:i w:val="0"/>
                <w:iCs w:val="0"/>
                <w:color w:val="000000"/>
                <w:sz w:val="21"/>
                <w:szCs w:val="21"/>
                <w:u w:val="none"/>
              </w:rPr>
              <w:t>功能:用于收纳心率采集器，最大可同时集中给60个心率采集器充电，集团队数据采集器于一体，可支持最多同时采集60个心率采集器实时数据，传输方式支持BLE5.0，WIFI，Lora,4G（全网通），LAN五种模式数据上传适用于多场景；</w:t>
            </w:r>
          </w:p>
          <w:p w14:paraId="0B1BD19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.电池容量：≥60000mAh</w:t>
            </w:r>
          </w:p>
          <w:p w14:paraId="4E840C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重量（箱子+电源）：≤7.1千克</w:t>
            </w:r>
          </w:p>
          <w:p w14:paraId="28EF30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6.</w:t>
            </w:r>
            <w:r>
              <w:rPr>
                <w:rFonts w:hint="eastAsia" w:ascii="宋体" w:hAnsi="宋体" w:eastAsia="宋体" w:cs="宋体"/>
                <w:i w:val="0"/>
                <w:iCs w:val="0"/>
                <w:color w:val="000000"/>
                <w:sz w:val="21"/>
                <w:szCs w:val="21"/>
                <w:u w:val="none"/>
              </w:rPr>
              <w:t>储存数据：可存储60台臂带数据(7天步数和卡路里，48小时心率)</w:t>
            </w:r>
          </w:p>
          <w:p w14:paraId="48A79BC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7.</w:t>
            </w:r>
            <w:r>
              <w:rPr>
                <w:rFonts w:hint="eastAsia" w:ascii="宋体" w:hAnsi="宋体" w:eastAsia="宋体" w:cs="宋体"/>
                <w:i w:val="0"/>
                <w:iCs w:val="0"/>
                <w:color w:val="000000"/>
                <w:sz w:val="21"/>
                <w:szCs w:val="21"/>
                <w:u w:val="none"/>
              </w:rPr>
              <w:t>传输距离：≥200M半径</w:t>
            </w:r>
          </w:p>
          <w:p w14:paraId="6DD1AD2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数据箱充电器</w:t>
            </w:r>
          </w:p>
          <w:p w14:paraId="0C0ECC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8.</w:t>
            </w:r>
            <w:r>
              <w:rPr>
                <w:rFonts w:hint="eastAsia" w:ascii="宋体" w:hAnsi="宋体" w:eastAsia="宋体" w:cs="宋体"/>
                <w:i w:val="0"/>
                <w:iCs w:val="0"/>
                <w:color w:val="000000"/>
                <w:sz w:val="21"/>
                <w:szCs w:val="21"/>
                <w:u w:val="none"/>
              </w:rPr>
              <w:t>输入功率：12V，5A（允许±0.5A偏差）</w:t>
            </w:r>
          </w:p>
          <w:p w14:paraId="608581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心率采集器</w:t>
            </w:r>
          </w:p>
          <w:p w14:paraId="73277A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9.</w:t>
            </w:r>
            <w:r>
              <w:rPr>
                <w:rFonts w:hint="eastAsia" w:ascii="宋体" w:hAnsi="宋体" w:eastAsia="宋体" w:cs="宋体"/>
                <w:i w:val="0"/>
                <w:iCs w:val="0"/>
                <w:color w:val="000000"/>
                <w:sz w:val="21"/>
                <w:szCs w:val="21"/>
                <w:u w:val="none"/>
              </w:rPr>
              <w:t>外观尺寸：≤47.8x43.7x15.5MM，主机材质：ABS</w:t>
            </w:r>
          </w:p>
          <w:p w14:paraId="1AE376F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10.</w:t>
            </w:r>
            <w:r>
              <w:rPr>
                <w:rFonts w:hint="eastAsia" w:ascii="宋体" w:hAnsi="宋体" w:eastAsia="宋体" w:cs="宋体"/>
                <w:i w:val="0"/>
                <w:iCs w:val="0"/>
                <w:color w:val="000000"/>
                <w:sz w:val="21"/>
                <w:szCs w:val="21"/>
                <w:u w:val="none"/>
              </w:rPr>
              <w:t>心率主机是一种双模式光学臂带心率监测器，可以支持BLE和Lora，并提供不低于80小时的准确心率和卡路里燃烧数据</w:t>
            </w:r>
          </w:p>
          <w:p w14:paraId="1C6E4C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11.</w:t>
            </w:r>
            <w:r>
              <w:rPr>
                <w:rFonts w:hint="eastAsia" w:ascii="宋体" w:hAnsi="宋体" w:eastAsia="宋体" w:cs="宋体"/>
                <w:i w:val="0"/>
                <w:iCs w:val="0"/>
                <w:color w:val="000000"/>
                <w:sz w:val="21"/>
                <w:szCs w:val="21"/>
                <w:u w:val="none"/>
              </w:rPr>
              <w:t>传输距离≥200M（半径）；</w:t>
            </w:r>
          </w:p>
          <w:p w14:paraId="01ADA7C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12.</w:t>
            </w:r>
            <w:r>
              <w:rPr>
                <w:rFonts w:hint="eastAsia" w:ascii="宋体" w:hAnsi="宋体" w:eastAsia="宋体" w:cs="宋体"/>
                <w:i w:val="0"/>
                <w:iCs w:val="0"/>
                <w:color w:val="000000"/>
                <w:sz w:val="21"/>
                <w:szCs w:val="21"/>
                <w:u w:val="none"/>
              </w:rPr>
              <w:t>电池容量：≥160mAh（可充锂电池），连续正常工作≥80H；</w:t>
            </w:r>
          </w:p>
          <w:p w14:paraId="4C1B912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13</w:t>
            </w:r>
            <w:r>
              <w:rPr>
                <w:rFonts w:hint="eastAsia" w:ascii="宋体" w:hAnsi="宋体" w:eastAsia="宋体" w:cs="宋体"/>
                <w:i w:val="0"/>
                <w:iCs w:val="0"/>
                <w:color w:val="000000"/>
                <w:sz w:val="21"/>
                <w:szCs w:val="21"/>
                <w:u w:val="none"/>
              </w:rPr>
              <w:t>.储存数据：可储存不低于7天步数和卡路里，48小时心率；</w:t>
            </w:r>
          </w:p>
          <w:p w14:paraId="32F89D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14</w:t>
            </w:r>
            <w:r>
              <w:rPr>
                <w:rFonts w:hint="eastAsia" w:ascii="宋体" w:hAnsi="宋体" w:eastAsia="宋体" w:cs="宋体"/>
                <w:i w:val="0"/>
                <w:iCs w:val="0"/>
                <w:color w:val="000000"/>
                <w:sz w:val="21"/>
                <w:szCs w:val="21"/>
                <w:u w:val="none"/>
              </w:rPr>
              <w:t>.心率准确性：动态下±5，静态下±1；</w:t>
            </w:r>
          </w:p>
          <w:p w14:paraId="4DAB8E6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15</w:t>
            </w:r>
            <w:r>
              <w:rPr>
                <w:rFonts w:hint="eastAsia" w:ascii="宋体" w:hAnsi="宋体" w:eastAsia="宋体" w:cs="宋体"/>
                <w:i w:val="0"/>
                <w:iCs w:val="0"/>
                <w:color w:val="000000"/>
                <w:sz w:val="21"/>
                <w:szCs w:val="21"/>
                <w:u w:val="none"/>
              </w:rPr>
              <w:t>.防水：≥IP67；</w:t>
            </w:r>
          </w:p>
          <w:p w14:paraId="502400B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16</w:t>
            </w:r>
            <w:r>
              <w:rPr>
                <w:rFonts w:hint="eastAsia" w:ascii="宋体" w:hAnsi="宋体" w:eastAsia="宋体" w:cs="宋体"/>
                <w:i w:val="0"/>
                <w:iCs w:val="0"/>
                <w:color w:val="000000"/>
                <w:sz w:val="21"/>
                <w:szCs w:val="21"/>
                <w:u w:val="none"/>
              </w:rPr>
              <w:t>.核心参数：配备加速度传感器（3D），心率传感器采用PPG原理；</w:t>
            </w:r>
          </w:p>
          <w:p w14:paraId="60E96DF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17</w:t>
            </w:r>
            <w:r>
              <w:rPr>
                <w:rFonts w:hint="eastAsia" w:ascii="宋体" w:hAnsi="宋体" w:eastAsia="宋体" w:cs="宋体"/>
                <w:i w:val="0"/>
                <w:iCs w:val="0"/>
                <w:color w:val="000000"/>
                <w:sz w:val="21"/>
                <w:szCs w:val="21"/>
                <w:u w:val="none"/>
              </w:rPr>
              <w:t>.重量:≤15G</w:t>
            </w:r>
          </w:p>
          <w:p w14:paraId="22F73D3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18</w:t>
            </w:r>
            <w:r>
              <w:rPr>
                <w:rFonts w:hint="eastAsia" w:ascii="宋体" w:hAnsi="宋体" w:eastAsia="宋体" w:cs="宋体"/>
                <w:i w:val="0"/>
                <w:iCs w:val="0"/>
                <w:color w:val="000000"/>
                <w:sz w:val="21"/>
                <w:szCs w:val="21"/>
                <w:u w:val="none"/>
              </w:rPr>
              <w:t>.震动报警提醒功能</w:t>
            </w:r>
          </w:p>
          <w:p w14:paraId="7F194FE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心率采集器腕带</w:t>
            </w:r>
          </w:p>
          <w:p w14:paraId="7CB279C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w:t>
            </w:r>
            <w:r>
              <w:rPr>
                <w:rFonts w:hint="eastAsia" w:ascii="宋体" w:hAnsi="宋体" w:eastAsia="宋体" w:cs="宋体"/>
                <w:i w:val="0"/>
                <w:iCs w:val="0"/>
                <w:color w:val="000000"/>
                <w:sz w:val="21"/>
                <w:szCs w:val="21"/>
                <w:u w:val="none"/>
                <w:lang w:val="en-US" w:eastAsia="zh-CN"/>
              </w:rPr>
              <w:t>9</w:t>
            </w:r>
            <w:r>
              <w:rPr>
                <w:rFonts w:hint="eastAsia" w:ascii="宋体" w:hAnsi="宋体" w:eastAsia="宋体" w:cs="宋体"/>
                <w:i w:val="0"/>
                <w:iCs w:val="0"/>
                <w:color w:val="000000"/>
                <w:sz w:val="21"/>
                <w:szCs w:val="21"/>
                <w:u w:val="none"/>
              </w:rPr>
              <w:t>.腕带长度：350MM/255MM可供选择</w:t>
            </w:r>
          </w:p>
          <w:p w14:paraId="5530541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w:t>
            </w:r>
            <w:r>
              <w:rPr>
                <w:rFonts w:hint="eastAsia" w:ascii="宋体" w:hAnsi="宋体" w:eastAsia="宋体" w:cs="宋体"/>
                <w:i w:val="0"/>
                <w:iCs w:val="0"/>
                <w:color w:val="000000"/>
                <w:sz w:val="21"/>
                <w:szCs w:val="21"/>
                <w:u w:val="none"/>
                <w:lang w:val="en-US" w:eastAsia="zh-CN"/>
              </w:rPr>
              <w:t>0</w:t>
            </w:r>
            <w:r>
              <w:rPr>
                <w:rFonts w:hint="eastAsia" w:ascii="宋体" w:hAnsi="宋体" w:eastAsia="宋体" w:cs="宋体"/>
                <w:i w:val="0"/>
                <w:iCs w:val="0"/>
                <w:color w:val="000000"/>
                <w:sz w:val="21"/>
                <w:szCs w:val="21"/>
                <w:u w:val="none"/>
              </w:rPr>
              <w:t>.材质：亲肤莱卡</w:t>
            </w:r>
          </w:p>
          <w:p w14:paraId="056EC9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运动负荷监测系统（EAP系统）</w:t>
            </w:r>
          </w:p>
          <w:p w14:paraId="3BDB04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21</w:t>
            </w:r>
            <w:r>
              <w:rPr>
                <w:rFonts w:hint="eastAsia" w:ascii="宋体" w:hAnsi="宋体" w:eastAsia="宋体" w:cs="宋体"/>
                <w:i w:val="0"/>
                <w:iCs w:val="0"/>
                <w:color w:val="000000"/>
                <w:sz w:val="21"/>
                <w:szCs w:val="21"/>
                <w:u w:val="none"/>
              </w:rPr>
              <w:t>.最多可检测六十台设备实时心率、运动强度、消耗热量、疲劳指数、呼吸率、团体运动强度统计等参数</w:t>
            </w:r>
          </w:p>
          <w:p w14:paraId="53BB0A2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22</w:t>
            </w:r>
            <w:r>
              <w:rPr>
                <w:rFonts w:hint="eastAsia" w:ascii="宋体" w:hAnsi="宋体" w:eastAsia="宋体" w:cs="宋体"/>
                <w:i w:val="0"/>
                <w:iCs w:val="0"/>
                <w:color w:val="000000"/>
                <w:sz w:val="21"/>
                <w:szCs w:val="21"/>
                <w:u w:val="none"/>
              </w:rPr>
              <w:t>.可添加logo</w:t>
            </w:r>
          </w:p>
          <w:p w14:paraId="043892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23</w:t>
            </w:r>
            <w:r>
              <w:rPr>
                <w:rFonts w:hint="eastAsia" w:ascii="宋体" w:hAnsi="宋体" w:eastAsia="宋体" w:cs="宋体"/>
                <w:i w:val="0"/>
                <w:iCs w:val="0"/>
                <w:color w:val="000000"/>
                <w:sz w:val="21"/>
                <w:szCs w:val="21"/>
                <w:u w:val="none"/>
              </w:rPr>
              <w:t>.可导出历史数据</w:t>
            </w:r>
          </w:p>
          <w:p w14:paraId="3FDD243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w:t>
            </w:r>
            <w:r>
              <w:rPr>
                <w:rFonts w:hint="eastAsia" w:ascii="宋体" w:hAnsi="宋体" w:eastAsia="宋体" w:cs="宋体"/>
                <w:i w:val="0"/>
                <w:iCs w:val="0"/>
                <w:color w:val="000000"/>
                <w:sz w:val="21"/>
                <w:szCs w:val="21"/>
                <w:u w:val="none"/>
              </w:rPr>
              <w:t>4.中英日法韩多种语言切换</w:t>
            </w:r>
          </w:p>
          <w:p w14:paraId="67F92F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w:t>
            </w:r>
            <w:r>
              <w:rPr>
                <w:rFonts w:hint="eastAsia" w:ascii="宋体" w:hAnsi="宋体" w:eastAsia="宋体" w:cs="宋体"/>
                <w:i w:val="0"/>
                <w:iCs w:val="0"/>
                <w:color w:val="000000"/>
                <w:sz w:val="21"/>
                <w:szCs w:val="21"/>
                <w:u w:val="none"/>
              </w:rPr>
              <w:t>5.具备游泳模式</w:t>
            </w:r>
          </w:p>
          <w:p w14:paraId="3B96900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操作终端</w:t>
            </w:r>
          </w:p>
          <w:p w14:paraId="780635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26</w:t>
            </w:r>
            <w:r>
              <w:rPr>
                <w:rFonts w:hint="eastAsia" w:ascii="宋体" w:hAnsi="宋体" w:eastAsia="宋体" w:cs="宋体"/>
                <w:i w:val="0"/>
                <w:iCs w:val="0"/>
                <w:color w:val="000000"/>
                <w:sz w:val="21"/>
                <w:szCs w:val="21"/>
                <w:u w:val="none"/>
              </w:rPr>
              <w:t>.屏幕尺寸（mm）：≥12寸</w:t>
            </w:r>
          </w:p>
          <w:p w14:paraId="51720C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27</w:t>
            </w:r>
            <w:r>
              <w:rPr>
                <w:rFonts w:hint="eastAsia" w:ascii="宋体" w:hAnsi="宋体" w:eastAsia="宋体" w:cs="宋体"/>
                <w:i w:val="0"/>
                <w:iCs w:val="0"/>
                <w:color w:val="000000"/>
                <w:sz w:val="21"/>
                <w:szCs w:val="21"/>
                <w:u w:val="none"/>
              </w:rPr>
              <w:t>.分辨率：≥2800*1968</w:t>
            </w:r>
          </w:p>
          <w:p w14:paraId="39C390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28</w:t>
            </w:r>
            <w:r>
              <w:rPr>
                <w:rFonts w:hint="eastAsia" w:ascii="宋体" w:hAnsi="宋体" w:eastAsia="宋体" w:cs="宋体"/>
                <w:i w:val="0"/>
                <w:iCs w:val="0"/>
                <w:color w:val="000000"/>
                <w:sz w:val="21"/>
                <w:szCs w:val="21"/>
                <w:u w:val="none"/>
              </w:rPr>
              <w:t>.CPU核心数：≥八核;</w:t>
            </w:r>
          </w:p>
          <w:p w14:paraId="2C198F7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29</w:t>
            </w:r>
            <w:r>
              <w:rPr>
                <w:rFonts w:hint="eastAsia" w:ascii="宋体" w:hAnsi="宋体" w:eastAsia="宋体" w:cs="宋体"/>
                <w:i w:val="0"/>
                <w:iCs w:val="0"/>
                <w:color w:val="000000"/>
                <w:sz w:val="21"/>
                <w:szCs w:val="21"/>
                <w:u w:val="none"/>
              </w:rPr>
              <w:t>.运行内存：≥8GB</w:t>
            </w:r>
          </w:p>
          <w:p w14:paraId="3FB8712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30</w:t>
            </w:r>
            <w:r>
              <w:rPr>
                <w:rFonts w:hint="eastAsia" w:ascii="宋体" w:hAnsi="宋体" w:eastAsia="宋体" w:cs="宋体"/>
                <w:i w:val="0"/>
                <w:iCs w:val="0"/>
                <w:color w:val="000000"/>
                <w:sz w:val="21"/>
                <w:szCs w:val="21"/>
                <w:u w:val="none"/>
              </w:rPr>
              <w:t>.系统：支持Andrid</w:t>
            </w:r>
          </w:p>
          <w:p w14:paraId="2D71AFA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31</w:t>
            </w:r>
            <w:r>
              <w:rPr>
                <w:rFonts w:hint="eastAsia" w:ascii="宋体" w:hAnsi="宋体" w:eastAsia="宋体" w:cs="宋体"/>
                <w:i w:val="0"/>
                <w:iCs w:val="0"/>
                <w:color w:val="000000"/>
                <w:sz w:val="21"/>
                <w:szCs w:val="21"/>
                <w:u w:val="none"/>
              </w:rPr>
              <w:t>.屏幕类型：LCD</w:t>
            </w:r>
          </w:p>
        </w:tc>
        <w:tc>
          <w:tcPr>
            <w:tcW w:w="404" w:type="dxa"/>
            <w:tcBorders>
              <w:top w:val="single" w:color="000000" w:sz="4" w:space="0"/>
              <w:left w:val="single" w:color="000000" w:sz="4" w:space="0"/>
              <w:bottom w:val="single" w:color="000000" w:sz="4" w:space="0"/>
              <w:right w:val="single" w:color="000000" w:sz="4" w:space="0"/>
            </w:tcBorders>
            <w:noWrap w:val="0"/>
            <w:vAlign w:val="center"/>
          </w:tcPr>
          <w:p w14:paraId="175792F6">
            <w:pPr>
              <w:keepNext w:val="0"/>
              <w:keepLines w:val="0"/>
              <w:widowControl/>
              <w:suppressLineNumbers w:val="0"/>
              <w:jc w:val="both"/>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446" w:type="dxa"/>
            <w:tcBorders>
              <w:top w:val="single" w:color="000000" w:sz="4" w:space="0"/>
              <w:left w:val="single" w:color="000000" w:sz="4" w:space="0"/>
              <w:bottom w:val="single" w:color="000000" w:sz="4" w:space="0"/>
              <w:right w:val="single" w:color="000000" w:sz="4" w:space="0"/>
            </w:tcBorders>
            <w:noWrap w:val="0"/>
            <w:vAlign w:val="center"/>
          </w:tcPr>
          <w:p w14:paraId="4E75C0E1">
            <w:pPr>
              <w:keepNext w:val="0"/>
              <w:keepLines w:val="0"/>
              <w:widowControl/>
              <w:suppressLineNumbers w:val="0"/>
              <w:jc w:val="both"/>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14:paraId="5781D174">
            <w:pPr>
              <w:keepNext w:val="0"/>
              <w:keepLines w:val="0"/>
              <w:widowControl/>
              <w:suppressLineNumbers w:val="0"/>
              <w:jc w:val="both"/>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45000</w:t>
            </w:r>
          </w:p>
        </w:tc>
      </w:tr>
    </w:tbl>
    <w:p w14:paraId="3A8E06EB">
      <w:pPr>
        <w:widowControl w:val="0"/>
        <w:autoSpaceDE w:val="0"/>
        <w:autoSpaceDN w:val="0"/>
        <w:spacing w:after="120" w:line="360" w:lineRule="auto"/>
        <w:jc w:val="left"/>
        <w:rPr>
          <w:rFonts w:hint="eastAsia" w:ascii="宋体" w:hAnsi="宋体" w:eastAsia="宋体" w:cs="宋体"/>
          <w:color w:val="auto"/>
          <w:kern w:val="2"/>
          <w:sz w:val="24"/>
          <w:highlight w:val="none"/>
          <w:lang w:val="en-US" w:eastAsia="zh-CN" w:bidi="ar-SA"/>
        </w:rPr>
      </w:pPr>
    </w:p>
    <w:p w14:paraId="12EA9190">
      <w:pPr>
        <w:keepNext w:val="0"/>
        <w:keepLines w:val="0"/>
        <w:pageBreakBefore w:val="0"/>
        <w:widowControl w:val="0"/>
        <w:kinsoku/>
        <w:wordWrap w:val="0"/>
        <w:overflowPunct/>
        <w:topLinePunct w:val="0"/>
        <w:autoSpaceDE w:val="0"/>
        <w:autoSpaceDN w:val="0"/>
        <w:bidi w:val="0"/>
        <w:adjustRightInd/>
        <w:snapToGrid/>
        <w:spacing w:line="360" w:lineRule="auto"/>
        <w:textAlignment w:val="auto"/>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b/>
          <w:bCs/>
          <w:color w:val="auto"/>
          <w:sz w:val="24"/>
          <w:szCs w:val="22"/>
          <w:highlight w:val="none"/>
          <w:lang w:val="en-US" w:eastAsia="zh-CN" w:bidi="ar-SA"/>
        </w:rPr>
        <w:t>注：</w:t>
      </w:r>
    </w:p>
    <w:p w14:paraId="380E4B7F">
      <w:pPr>
        <w:keepNext w:val="0"/>
        <w:keepLines w:val="0"/>
        <w:pageBreakBefore w:val="0"/>
        <w:widowControl w:val="0"/>
        <w:kinsoku/>
        <w:wordWrap w:val="0"/>
        <w:overflowPunct/>
        <w:topLinePunct w:val="0"/>
        <w:autoSpaceDE w:val="0"/>
        <w:autoSpaceDN w:val="0"/>
        <w:bidi w:val="0"/>
        <w:adjustRightInd/>
        <w:snapToGrid/>
        <w:spacing w:line="360" w:lineRule="auto"/>
        <w:textAlignment w:val="auto"/>
        <w:rPr>
          <w:rFonts w:hint="default" w:ascii="宋体" w:hAnsi="宋体" w:eastAsia="宋体" w:cs="宋体"/>
          <w:b w:val="0"/>
          <w:bCs w:val="0"/>
          <w:color w:val="auto"/>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bidi="ar-SA"/>
        </w:rPr>
        <w:t>1、单价限价是指</w:t>
      </w:r>
      <w:r>
        <w:rPr>
          <w:rFonts w:ascii="宋体" w:hAnsi="宋体" w:eastAsia="宋体" w:cs="宋体"/>
          <w:b w:val="0"/>
          <w:bCs w:val="0"/>
          <w:sz w:val="24"/>
          <w:szCs w:val="24"/>
        </w:rPr>
        <w:t>在采购文件中针对</w:t>
      </w:r>
      <w:r>
        <w:rPr>
          <w:rFonts w:ascii="宋体" w:hAnsi="宋体" w:eastAsia="宋体" w:cs="宋体"/>
          <w:b w:val="0"/>
          <w:bCs w:val="0"/>
          <w:color w:val="000000"/>
          <w:sz w:val="24"/>
          <w:szCs w:val="24"/>
        </w:rPr>
        <w:t>单个货物、单项服务或单位数量标的物</w:t>
      </w:r>
      <w:r>
        <w:rPr>
          <w:rFonts w:ascii="宋体" w:hAnsi="宋体" w:eastAsia="宋体" w:cs="宋体"/>
          <w:b w:val="0"/>
          <w:bCs w:val="0"/>
          <w:sz w:val="24"/>
          <w:szCs w:val="24"/>
        </w:rPr>
        <w:t>设定的</w:t>
      </w:r>
      <w:r>
        <w:rPr>
          <w:rFonts w:ascii="宋体" w:hAnsi="宋体" w:eastAsia="宋体" w:cs="宋体"/>
          <w:b w:val="0"/>
          <w:bCs w:val="0"/>
          <w:color w:val="000000"/>
          <w:sz w:val="24"/>
          <w:szCs w:val="24"/>
        </w:rPr>
        <w:t>报价法定上限金额</w:t>
      </w:r>
      <w:r>
        <w:rPr>
          <w:rFonts w:ascii="宋体" w:hAnsi="宋体" w:eastAsia="宋体" w:cs="宋体"/>
          <w:b w:val="0"/>
          <w:bCs w:val="0"/>
          <w:sz w:val="24"/>
          <w:szCs w:val="24"/>
        </w:rPr>
        <w:t>，</w:t>
      </w:r>
      <w:r>
        <w:rPr>
          <w:rFonts w:hint="eastAsia" w:ascii="宋体" w:hAnsi="宋体" w:eastAsia="宋体" w:cs="宋体"/>
          <w:b w:val="0"/>
          <w:bCs w:val="0"/>
          <w:sz w:val="24"/>
          <w:szCs w:val="24"/>
          <w:lang w:val="en-US" w:eastAsia="zh-CN"/>
        </w:rPr>
        <w:t>投标人所报单价不得超过单价最高限价，</w:t>
      </w:r>
      <w:r>
        <w:rPr>
          <w:rFonts w:hint="eastAsia" w:ascii="宋体" w:hAnsi="宋体" w:eastAsia="宋体" w:cs="宋体"/>
          <w:b/>
          <w:bCs/>
          <w:sz w:val="24"/>
          <w:szCs w:val="24"/>
          <w:lang w:val="en-US" w:eastAsia="zh-CN"/>
        </w:rPr>
        <w:t>否则做无效响应处理</w:t>
      </w:r>
      <w:r>
        <w:rPr>
          <w:rFonts w:hint="eastAsia" w:ascii="宋体" w:hAnsi="宋体" w:eastAsia="宋体" w:cs="宋体"/>
          <w:b w:val="0"/>
          <w:bCs w:val="0"/>
          <w:sz w:val="24"/>
          <w:szCs w:val="24"/>
          <w:lang w:val="en-US" w:eastAsia="zh-CN"/>
        </w:rPr>
        <w:t>。</w:t>
      </w:r>
    </w:p>
    <w:p w14:paraId="7D388ECF">
      <w:pPr>
        <w:keepNext w:val="0"/>
        <w:keepLines w:val="0"/>
        <w:pageBreakBefore w:val="0"/>
        <w:widowControl w:val="0"/>
        <w:kinsoku/>
        <w:wordWrap w:val="0"/>
        <w:overflowPunct/>
        <w:topLinePunct w:val="0"/>
        <w:autoSpaceDE w:val="0"/>
        <w:autoSpaceDN w:val="0"/>
        <w:bidi w:val="0"/>
        <w:adjustRightInd/>
        <w:snapToGrid/>
        <w:spacing w:line="360" w:lineRule="auto"/>
        <w:textAlignment w:val="auto"/>
        <w:rPr>
          <w:rFonts w:hint="eastAsia" w:ascii="宋体" w:hAnsi="宋体" w:eastAsia="宋体" w:cs="宋体"/>
          <w:b w:val="0"/>
          <w:bCs w:val="0"/>
          <w:color w:val="auto"/>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bidi="ar-SA"/>
        </w:rPr>
        <w:t>2、本项不涉及政府强制采购节能产品。</w:t>
      </w:r>
    </w:p>
    <w:p w14:paraId="116B81D3">
      <w:pPr>
        <w:widowControl w:val="0"/>
        <w:autoSpaceDE w:val="0"/>
        <w:autoSpaceDN w:val="0"/>
        <w:spacing w:line="360" w:lineRule="auto"/>
        <w:rPr>
          <w:rFonts w:hint="default" w:ascii="宋体" w:hAnsi="宋体" w:eastAsia="宋体" w:cs="宋体"/>
          <w:b w:val="0"/>
          <w:bCs w:val="0"/>
          <w:color w:val="auto"/>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bidi="ar-SA"/>
        </w:rPr>
        <w:t>3、本项目不涉及优先采购节能产品。</w:t>
      </w:r>
    </w:p>
    <w:p w14:paraId="3B65BF1C">
      <w:pPr>
        <w:keepNext w:val="0"/>
        <w:keepLines w:val="0"/>
        <w:pageBreakBefore w:val="0"/>
        <w:widowControl w:val="0"/>
        <w:kinsoku/>
        <w:wordWrap w:val="0"/>
        <w:overflowPunct/>
        <w:topLinePunct w:val="0"/>
        <w:autoSpaceDE w:val="0"/>
        <w:autoSpaceDN w:val="0"/>
        <w:bidi w:val="0"/>
        <w:adjustRightInd/>
        <w:snapToGrid/>
        <w:spacing w:line="360" w:lineRule="auto"/>
        <w:textAlignment w:val="auto"/>
        <w:rPr>
          <w:rFonts w:hint="default" w:ascii="宋体" w:hAnsi="宋体" w:eastAsia="宋体" w:cs="宋体"/>
          <w:b w:val="0"/>
          <w:bCs w:val="0"/>
          <w:color w:val="auto"/>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bidi="ar-SA"/>
        </w:rPr>
        <w:t>4、本项目所有标的物不属于优先采购的环境标志产品。</w:t>
      </w:r>
    </w:p>
    <w:p w14:paraId="7CD2C92B">
      <w:pPr>
        <w:widowControl w:val="0"/>
        <w:numPr>
          <w:ilvl w:val="0"/>
          <w:numId w:val="0"/>
        </w:numPr>
        <w:tabs>
          <w:tab w:val="left" w:pos="312"/>
          <w:tab w:val="left" w:pos="360"/>
          <w:tab w:val="left" w:pos="645"/>
        </w:tabs>
        <w:suppressAutoHyphens/>
        <w:spacing w:before="0" w:after="0" w:line="360" w:lineRule="auto"/>
        <w:jc w:val="both"/>
        <w:outlineLvl w:val="2"/>
        <w:rPr>
          <w:rFonts w:hint="eastAsia" w:ascii="宋体" w:hAnsi="宋体" w:eastAsia="宋体" w:cs="宋体"/>
          <w:b/>
          <w:bCs/>
          <w:color w:val="auto"/>
          <w:kern w:val="0"/>
          <w:sz w:val="28"/>
          <w:szCs w:val="20"/>
          <w:highlight w:val="none"/>
          <w:lang w:val="en-US" w:eastAsia="zh-CN" w:bidi="ar-SA"/>
        </w:rPr>
      </w:pPr>
    </w:p>
    <w:p w14:paraId="36E4240A">
      <w:pPr>
        <w:widowControl w:val="0"/>
        <w:numPr>
          <w:ilvl w:val="0"/>
          <w:numId w:val="0"/>
        </w:numPr>
        <w:tabs>
          <w:tab w:val="left" w:pos="312"/>
          <w:tab w:val="left" w:pos="360"/>
          <w:tab w:val="left" w:pos="645"/>
        </w:tabs>
        <w:suppressAutoHyphens/>
        <w:spacing w:before="0" w:after="0" w:line="360" w:lineRule="auto"/>
        <w:jc w:val="both"/>
        <w:outlineLvl w:val="2"/>
        <w:rPr>
          <w:rFonts w:hint="eastAsia" w:ascii="宋体" w:hAnsi="宋体" w:eastAsia="宋体" w:cs="Times New Roman"/>
          <w:b/>
          <w:bCs/>
          <w:color w:val="auto"/>
          <w:kern w:val="2"/>
          <w:sz w:val="28"/>
          <w:szCs w:val="20"/>
          <w:highlight w:val="none"/>
          <w:lang w:val="en-US" w:eastAsia="zh-CN" w:bidi="ar-SA"/>
        </w:rPr>
      </w:pPr>
      <w:r>
        <w:rPr>
          <w:rFonts w:hint="eastAsia" w:ascii="宋体" w:hAnsi="宋体" w:eastAsia="宋体" w:cs="宋体"/>
          <w:b/>
          <w:bCs/>
          <w:color w:val="auto"/>
          <w:kern w:val="0"/>
          <w:sz w:val="28"/>
          <w:szCs w:val="20"/>
          <w:highlight w:val="none"/>
          <w:lang w:val="en-US" w:eastAsia="zh-CN" w:bidi="ar-SA"/>
        </w:rPr>
        <w:t>★三</w:t>
      </w:r>
      <w:r>
        <w:rPr>
          <w:rFonts w:hint="eastAsia" w:ascii="宋体" w:hAnsi="宋体" w:eastAsia="宋体" w:cs="Times New Roman"/>
          <w:b/>
          <w:bCs/>
          <w:color w:val="auto"/>
          <w:kern w:val="2"/>
          <w:sz w:val="28"/>
          <w:szCs w:val="20"/>
          <w:highlight w:val="none"/>
          <w:lang w:val="en-US" w:eastAsia="zh-CN" w:bidi="ar-SA"/>
        </w:rPr>
        <w:t>、商务要求</w:t>
      </w:r>
    </w:p>
    <w:p w14:paraId="7B6AD5D3">
      <w:pPr>
        <w:keepNext w:val="0"/>
        <w:keepLines w:val="0"/>
        <w:pageBreakBefore w:val="0"/>
        <w:widowControl w:val="0"/>
        <w:kinsoku/>
        <w:wordWrap/>
        <w:overflowPunct/>
        <w:topLinePunct w:val="0"/>
        <w:autoSpaceDE/>
        <w:autoSpaceDN/>
        <w:bidi w:val="0"/>
        <w:adjustRightInd/>
        <w:snapToGrid/>
        <w:spacing w:before="180" w:line="360" w:lineRule="auto"/>
        <w:ind w:firstLine="468" w:firstLineChars="200"/>
        <w:jc w:val="left"/>
        <w:textAlignment w:val="auto"/>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1、交货时间：</w:t>
      </w:r>
      <w:r>
        <w:rPr>
          <w:rFonts w:ascii="宋体" w:hAnsi="宋体" w:eastAsia="宋体" w:cs="宋体"/>
          <w:sz w:val="24"/>
          <w:szCs w:val="24"/>
          <w:highlight w:val="none"/>
        </w:rPr>
        <w:t>合同签订后</w:t>
      </w:r>
      <w:r>
        <w:rPr>
          <w:rFonts w:hint="eastAsia" w:ascii="宋体" w:hAnsi="宋体" w:eastAsia="宋体" w:cs="宋体"/>
          <w:sz w:val="24"/>
          <w:szCs w:val="24"/>
          <w:highlight w:val="none"/>
          <w:lang w:val="en-US" w:eastAsia="zh-CN"/>
        </w:rPr>
        <w:t>35</w:t>
      </w:r>
      <w:r>
        <w:rPr>
          <w:rFonts w:ascii="宋体" w:hAnsi="宋体" w:eastAsia="宋体" w:cs="宋体"/>
          <w:sz w:val="24"/>
          <w:szCs w:val="24"/>
          <w:highlight w:val="none"/>
        </w:rPr>
        <w:t>日内完成货物运输安装等相关配套实施内容</w:t>
      </w:r>
      <w:r>
        <w:rPr>
          <w:rFonts w:hint="eastAsia" w:ascii="宋体" w:hAnsi="宋体" w:eastAsia="宋体" w:cs="宋体"/>
          <w:spacing w:val="-3"/>
          <w:sz w:val="24"/>
          <w:szCs w:val="24"/>
          <w:highlight w:val="none"/>
          <w:lang w:val="en-US" w:eastAsia="zh-CN"/>
        </w:rPr>
        <w:t>。</w:t>
      </w:r>
    </w:p>
    <w:p w14:paraId="3351E4B7">
      <w:pPr>
        <w:keepNext w:val="0"/>
        <w:keepLines w:val="0"/>
        <w:pageBreakBefore w:val="0"/>
        <w:widowControl w:val="0"/>
        <w:kinsoku/>
        <w:wordWrap/>
        <w:overflowPunct/>
        <w:topLinePunct w:val="0"/>
        <w:autoSpaceDE/>
        <w:autoSpaceDN/>
        <w:bidi w:val="0"/>
        <w:adjustRightInd/>
        <w:snapToGrid/>
        <w:spacing w:before="180" w:line="360" w:lineRule="auto"/>
        <w:ind w:firstLine="468" w:firstLineChars="200"/>
        <w:jc w:val="left"/>
        <w:textAlignment w:val="auto"/>
        <w:rPr>
          <w:rFonts w:hint="eastAsia" w:ascii="宋体" w:hAnsi="宋体" w:eastAsia="宋体" w:cs="宋体"/>
          <w:sz w:val="24"/>
          <w:szCs w:val="24"/>
        </w:rPr>
      </w:pPr>
      <w:r>
        <w:rPr>
          <w:rFonts w:hint="eastAsia" w:ascii="宋体" w:hAnsi="宋体" w:eastAsia="宋体" w:cs="宋体"/>
          <w:spacing w:val="-3"/>
          <w:sz w:val="24"/>
          <w:szCs w:val="24"/>
        </w:rPr>
        <w:t>2、交货地点：</w:t>
      </w:r>
      <w:r>
        <w:rPr>
          <w:rFonts w:hint="eastAsia" w:ascii="宋体" w:hAnsi="宋体" w:eastAsia="宋体" w:cs="宋体"/>
          <w:spacing w:val="-3"/>
          <w:sz w:val="24"/>
          <w:szCs w:val="24"/>
          <w:lang w:val="en-US" w:eastAsia="zh-CN"/>
        </w:rPr>
        <w:t>西昌市消防救援大队古城消防站</w:t>
      </w:r>
      <w:r>
        <w:rPr>
          <w:rFonts w:hint="eastAsia" w:ascii="宋体" w:hAnsi="宋体" w:eastAsia="宋体" w:cs="宋体"/>
          <w:spacing w:val="-3"/>
          <w:sz w:val="24"/>
          <w:szCs w:val="24"/>
        </w:rPr>
        <w:t>（采购人指定地点）。</w:t>
      </w:r>
    </w:p>
    <w:p w14:paraId="1FE41E51">
      <w:pPr>
        <w:keepNext w:val="0"/>
        <w:keepLines w:val="0"/>
        <w:pageBreakBefore w:val="0"/>
        <w:widowControl w:val="0"/>
        <w:kinsoku/>
        <w:wordWrap/>
        <w:overflowPunct/>
        <w:topLinePunct w:val="0"/>
        <w:autoSpaceDE/>
        <w:autoSpaceDN/>
        <w:bidi w:val="0"/>
        <w:adjustRightInd/>
        <w:snapToGrid/>
        <w:spacing w:before="183" w:line="360" w:lineRule="auto"/>
        <w:ind w:firstLine="464" w:firstLineChars="200"/>
        <w:jc w:val="left"/>
        <w:textAlignment w:val="auto"/>
        <w:rPr>
          <w:rFonts w:hint="eastAsia" w:ascii="宋体" w:hAnsi="宋体" w:eastAsia="宋体" w:cs="宋体"/>
          <w:spacing w:val="-4"/>
          <w:position w:val="17"/>
          <w:sz w:val="24"/>
          <w:szCs w:val="24"/>
          <w:highlight w:val="none"/>
        </w:rPr>
      </w:pPr>
      <w:r>
        <w:rPr>
          <w:rFonts w:hint="eastAsia" w:ascii="宋体" w:hAnsi="宋体" w:eastAsia="宋体" w:cs="宋体"/>
          <w:spacing w:val="-4"/>
          <w:position w:val="17"/>
          <w:sz w:val="24"/>
          <w:szCs w:val="24"/>
          <w:highlight w:val="none"/>
        </w:rPr>
        <w:t>3、付款方式：</w:t>
      </w:r>
      <w:r>
        <w:rPr>
          <w:rFonts w:hint="eastAsia" w:ascii="宋体" w:hAnsi="宋体" w:eastAsia="宋体" w:cs="宋体"/>
          <w:spacing w:val="-4"/>
          <w:position w:val="17"/>
          <w:sz w:val="24"/>
          <w:szCs w:val="24"/>
          <w:highlight w:val="none"/>
          <w:lang w:val="en-US" w:eastAsia="zh-CN"/>
        </w:rPr>
        <w:t>合同签订后5日内采购人向中标人支付中标总金额的30%作为预付款，货物全部到货并安装调试完毕并经审计验收合格后支付至中标总金额的97%，剩余3%待1年后无质量问题一次性无息支付。</w:t>
      </w:r>
    </w:p>
    <w:p w14:paraId="28BAED0A">
      <w:pPr>
        <w:keepNext w:val="0"/>
        <w:keepLines w:val="0"/>
        <w:pageBreakBefore w:val="0"/>
        <w:widowControl w:val="0"/>
        <w:kinsoku/>
        <w:wordWrap/>
        <w:overflowPunct/>
        <w:topLinePunct w:val="0"/>
        <w:autoSpaceDE/>
        <w:autoSpaceDN/>
        <w:bidi w:val="0"/>
        <w:adjustRightInd/>
        <w:snapToGrid/>
        <w:spacing w:line="360" w:lineRule="auto"/>
        <w:ind w:firstLine="464" w:firstLineChars="200"/>
        <w:jc w:val="left"/>
        <w:textAlignment w:val="auto"/>
        <w:rPr>
          <w:rFonts w:hint="eastAsia" w:ascii="宋体" w:hAnsi="宋体" w:eastAsia="宋体" w:cs="宋体"/>
          <w:spacing w:val="-4"/>
          <w:position w:val="17"/>
          <w:sz w:val="24"/>
          <w:szCs w:val="24"/>
          <w:highlight w:val="none"/>
        </w:rPr>
      </w:pPr>
      <w:r>
        <w:rPr>
          <w:rFonts w:hint="eastAsia" w:ascii="宋体" w:hAnsi="宋体" w:eastAsia="宋体" w:cs="宋体"/>
          <w:spacing w:val="-4"/>
          <w:position w:val="17"/>
          <w:sz w:val="24"/>
          <w:szCs w:val="24"/>
          <w:highlight w:val="none"/>
        </w:rPr>
        <w:t>注：本项目报价包含</w:t>
      </w:r>
      <w:r>
        <w:rPr>
          <w:rFonts w:hint="eastAsia" w:ascii="宋体" w:hAnsi="宋体" w:eastAsia="宋体" w:cs="宋体"/>
          <w:spacing w:val="-4"/>
          <w:position w:val="17"/>
          <w:sz w:val="24"/>
          <w:szCs w:val="24"/>
          <w:highlight w:val="none"/>
          <w:lang w:val="en-US" w:eastAsia="zh-CN"/>
        </w:rPr>
        <w:t>货物</w:t>
      </w:r>
      <w:r>
        <w:rPr>
          <w:rFonts w:hint="eastAsia" w:ascii="宋体" w:hAnsi="宋体" w:eastAsia="宋体" w:cs="宋体"/>
          <w:spacing w:val="-4"/>
          <w:position w:val="17"/>
          <w:sz w:val="24"/>
          <w:szCs w:val="24"/>
          <w:highlight w:val="none"/>
        </w:rPr>
        <w:t>材料，生产、采购、包装、运输、卸货费、保险、</w:t>
      </w:r>
      <w:r>
        <w:rPr>
          <w:rFonts w:hint="eastAsia" w:ascii="宋体" w:hAnsi="宋体" w:eastAsia="宋体" w:cs="宋体"/>
          <w:spacing w:val="-4"/>
          <w:position w:val="17"/>
          <w:sz w:val="24"/>
          <w:szCs w:val="24"/>
          <w:highlight w:val="none"/>
          <w:lang w:val="en-US" w:eastAsia="zh-CN"/>
        </w:rPr>
        <w:t>代理、</w:t>
      </w:r>
      <w:r>
        <w:rPr>
          <w:rFonts w:hint="eastAsia" w:ascii="宋体" w:hAnsi="宋体" w:eastAsia="宋体" w:cs="宋体"/>
          <w:spacing w:val="-4"/>
          <w:position w:val="17"/>
          <w:sz w:val="24"/>
          <w:szCs w:val="24"/>
          <w:highlight w:val="none"/>
        </w:rPr>
        <w:t>税费、人工、安全、安装、保养等全部费用。</w:t>
      </w:r>
    </w:p>
    <w:p w14:paraId="51D5C980">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000000"/>
          <w:spacing w:val="-4"/>
          <w:kern w:val="2"/>
          <w:position w:val="17"/>
          <w:sz w:val="24"/>
          <w:szCs w:val="24"/>
          <w:lang w:val="en-US" w:eastAsia="zh-CN" w:bidi="ar-SA"/>
        </w:rPr>
      </w:pPr>
      <w:r>
        <w:rPr>
          <w:rFonts w:hint="eastAsia" w:ascii="宋体" w:hAnsi="宋体" w:eastAsia="宋体" w:cs="宋体"/>
          <w:color w:val="000000"/>
          <w:spacing w:val="-4"/>
          <w:kern w:val="2"/>
          <w:position w:val="17"/>
          <w:sz w:val="24"/>
          <w:szCs w:val="24"/>
          <w:highlight w:val="none"/>
          <w:lang w:val="en-US" w:eastAsia="zh-CN" w:bidi="ar-SA"/>
        </w:rPr>
        <w:t>（1）履约保证金：合同签订前按采购合同总金额的3%作为履约保证金</w:t>
      </w:r>
      <w:r>
        <w:rPr>
          <w:rFonts w:hint="eastAsia" w:ascii="宋体" w:hAnsi="宋体" w:eastAsia="宋体" w:cs="宋体"/>
          <w:color w:val="000000"/>
          <w:spacing w:val="-4"/>
          <w:kern w:val="2"/>
          <w:position w:val="17"/>
          <w:sz w:val="24"/>
          <w:szCs w:val="24"/>
          <w:lang w:val="en-US" w:eastAsia="zh-CN" w:bidi="ar-SA"/>
        </w:rPr>
        <w:t>，验收合格后，质量保证期满后无任何责任问题一次性无息退还。</w:t>
      </w:r>
    </w:p>
    <w:p w14:paraId="25E255DF">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000000"/>
          <w:spacing w:val="-4"/>
          <w:kern w:val="2"/>
          <w:position w:val="17"/>
          <w:sz w:val="24"/>
          <w:szCs w:val="24"/>
          <w:lang w:val="en-US" w:eastAsia="zh-CN" w:bidi="ar-SA"/>
        </w:rPr>
      </w:pPr>
      <w:r>
        <w:rPr>
          <w:rFonts w:hint="eastAsia" w:ascii="宋体" w:hAnsi="宋体" w:eastAsia="宋体" w:cs="宋体"/>
          <w:color w:val="000000"/>
          <w:spacing w:val="-4"/>
          <w:kern w:val="2"/>
          <w:position w:val="17"/>
          <w:sz w:val="24"/>
          <w:szCs w:val="24"/>
          <w:lang w:val="en-US" w:eastAsia="zh-CN" w:bidi="ar-SA"/>
        </w:rPr>
        <w:t>（2）付款条件：支付前提均为产品验收合格后采购人收到中标人出具的正规发票后办理款项支付事宜，且款项支付均为无息支付。</w:t>
      </w:r>
    </w:p>
    <w:p w14:paraId="5F599A15">
      <w:pPr>
        <w:keepNext w:val="0"/>
        <w:keepLines w:val="0"/>
        <w:pageBreakBefore w:val="0"/>
        <w:widowControl w:val="0"/>
        <w:numPr>
          <w:ilvl w:val="0"/>
          <w:numId w:val="0"/>
        </w:numPr>
        <w:kinsoku/>
        <w:wordWrap/>
        <w:overflowPunct/>
        <w:topLinePunct w:val="0"/>
        <w:autoSpaceDE/>
        <w:autoSpaceDN/>
        <w:bidi w:val="0"/>
        <w:adjustRightInd/>
        <w:snapToGrid/>
        <w:spacing w:after="120" w:line="360" w:lineRule="auto"/>
        <w:ind w:left="0" w:leftChars="0" w:firstLine="464" w:firstLineChars="200"/>
        <w:jc w:val="both"/>
        <w:textAlignment w:val="auto"/>
        <w:rPr>
          <w:rFonts w:hint="eastAsia" w:ascii="宋体" w:hAnsi="宋体" w:eastAsia="宋体" w:cs="宋体"/>
          <w:spacing w:val="-4"/>
          <w:kern w:val="2"/>
          <w:position w:val="17"/>
          <w:sz w:val="24"/>
          <w:szCs w:val="24"/>
          <w:lang w:val="en-US" w:eastAsia="zh-CN" w:bidi="ar-SA"/>
        </w:rPr>
      </w:pPr>
      <w:r>
        <w:rPr>
          <w:rFonts w:hint="eastAsia" w:ascii="宋体" w:hAnsi="宋体" w:eastAsia="宋体" w:cs="宋体"/>
          <w:spacing w:val="-4"/>
          <w:kern w:val="2"/>
          <w:position w:val="17"/>
          <w:sz w:val="24"/>
          <w:szCs w:val="24"/>
          <w:lang w:val="en-US" w:eastAsia="zh-CN" w:bidi="ar-SA"/>
        </w:rPr>
        <w:t>4、服务要求：</w:t>
      </w:r>
    </w:p>
    <w:p w14:paraId="7E9CA9C1">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default"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中标人负责本项目的有关货物的包装、装车和运输，承担相关费用，确保货物完 好无损地按时、足量交付给采购人。</w:t>
      </w:r>
    </w:p>
    <w:p w14:paraId="6CA5957E">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default"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5、售后服务：中标人应为采购人指派专人负责与采购人联系售后服务事宜。主要培训内容为货物的基本结构、主要部件的构造，日常使用操作、保养与管理、紧急情况的处理等。</w:t>
      </w:r>
    </w:p>
    <w:p w14:paraId="6679C055">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6、①产品质量保证期（简称“质保期”）为经验收合格之日起1年，1年服务期内全责保养，不定期回访，如有需求上门维护。在保修期内，若发生质量问题，投标人将负责更换或维修（同一产品、同一质量问题连续两次维修仍无法正常使用的，投标人必须更换相同型号产品）。在保修期外，提供更换、维修服务，所需材料只收取成本费。质保期自采购人在货物质量验收单上签字之日起计算，质保费用计入总价。</w:t>
      </w:r>
    </w:p>
    <w:p w14:paraId="3DF8D629">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default"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②如在质保期内产品出现质量问题投标人应及时更换或维修维护，质保期内出现的质量问题所产生的一切费用由中标人自行承担。</w:t>
      </w:r>
      <w:r>
        <w:rPr>
          <w:rFonts w:hint="eastAsia" w:ascii="宋体" w:hAnsi="宋体" w:eastAsia="宋体" w:cs="宋体"/>
          <w:b/>
          <w:bCs/>
          <w:color w:val="auto"/>
          <w:spacing w:val="-4"/>
          <w:kern w:val="2"/>
          <w:position w:val="17"/>
          <w:sz w:val="24"/>
          <w:szCs w:val="24"/>
          <w:lang w:val="en-US" w:eastAsia="zh-CN" w:bidi="ar-SA"/>
        </w:rPr>
        <w:t>（单独提供承诺函并加盖投标人鲜章）</w:t>
      </w:r>
    </w:p>
    <w:p w14:paraId="4B8C3ACA">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③质保期内，中标人负责对其提供的货物实行包修、包换、包退、包维护保养，不再收取任何费用，但不可抗力（如火灾、雷击等）造成的故障除外。</w:t>
      </w:r>
    </w:p>
    <w:p w14:paraId="0D1D0DE3">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④提供7×24小时的技术支持服务，配置专门固定的售后服务电话。接到采购人系统故障报修应1小时内响应，12小时内到达现场，24小时内排除故障。</w:t>
      </w:r>
    </w:p>
    <w:p w14:paraId="04857955">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⑤为本项目配备技术维修人员，故障问题解决后24小时内，向采购人提交问题处理报告，说明问题种类、问题原因、问题解决中使用的方法及造成的损失等情况。</w:t>
      </w:r>
    </w:p>
    <w:p w14:paraId="657E7DC7">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default"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⑥中标人面临突发状况时，保障货物供应链稳定、确保货物顺利流通，设立应急人员配备，负责组织、协调、指挥货物应急保障工作。</w:t>
      </w:r>
    </w:p>
    <w:p w14:paraId="0F2264C4">
      <w:pPr>
        <w:keepNext w:val="0"/>
        <w:keepLines w:val="0"/>
        <w:pageBreakBefore w:val="0"/>
        <w:widowControl w:val="0"/>
        <w:kinsoku/>
        <w:wordWrap/>
        <w:overflowPunct/>
        <w:topLinePunct w:val="0"/>
        <w:autoSpaceDE/>
        <w:autoSpaceDN/>
        <w:bidi w:val="0"/>
        <w:adjustRightInd/>
        <w:snapToGrid/>
        <w:spacing w:line="360" w:lineRule="auto"/>
        <w:ind w:firstLine="464" w:firstLineChars="200"/>
        <w:jc w:val="left"/>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7、验收标准：</w:t>
      </w:r>
    </w:p>
    <w:p w14:paraId="7C9EB878">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7.1.履约验收主体：采购人</w:t>
      </w:r>
    </w:p>
    <w:p w14:paraId="082C5247">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7.2.履约验收时间：货物全部送到并运行一周无误后，投标人向采购人申请验收。</w:t>
      </w:r>
    </w:p>
    <w:p w14:paraId="0354AB0E">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7.3.验收组织方式：有权邀请第三方机构或质检部门共同验收。</w:t>
      </w:r>
    </w:p>
    <w:p w14:paraId="7AAAAB9B">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7.4.履约验收程序：一次性验收。</w:t>
      </w:r>
    </w:p>
    <w:p w14:paraId="3D4C50F9">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7.5.技术履约验收内容：按照本项目招标文件中技术要求及中标人投标文件进行验收。</w:t>
      </w:r>
    </w:p>
    <w:p w14:paraId="1A7D1EA7">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7.6.商务履约验收内容：按照本项目招标文件中商务要求及中标人投标文件进行验收。</w:t>
      </w:r>
    </w:p>
    <w:p w14:paraId="413B6B62">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7.7.履约验收标准：按照《财政部关于进一步加强政府采购需求和履约验收管理的指导意见》（财库〔2016〕205号）、《政府采购需求管理办法》（财库〔2021〕22号）等有关要求进行验收。</w:t>
      </w:r>
    </w:p>
    <w:p w14:paraId="4947056A">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eastAsia"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7.8.其他要求：验收不合格时，采购人和中标人应协商一致，中标人应根据相关验收证明材料及时补足或更换，费用由中标人自行承担。</w:t>
      </w:r>
    </w:p>
    <w:p w14:paraId="2F074D05">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default"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8、中标人所提供货物需满足采购人使用要求，采购人如认为所提供货物未满足使用要求，中标人需按采购人要求整改，未按要求整改的采购人有权不予付款。</w:t>
      </w:r>
      <w:r>
        <w:rPr>
          <w:rFonts w:hint="eastAsia" w:ascii="宋体" w:hAnsi="宋体" w:eastAsia="宋体" w:cs="宋体"/>
          <w:b/>
          <w:bCs/>
          <w:color w:val="auto"/>
          <w:spacing w:val="-4"/>
          <w:kern w:val="2"/>
          <w:position w:val="17"/>
          <w:sz w:val="24"/>
          <w:szCs w:val="24"/>
          <w:lang w:val="en-US" w:eastAsia="zh-CN" w:bidi="ar-SA"/>
        </w:rPr>
        <w:t>（单独提供承诺函并加盖投标人鲜章）</w:t>
      </w:r>
    </w:p>
    <w:p w14:paraId="160A6020">
      <w:pPr>
        <w:keepNext w:val="0"/>
        <w:keepLines w:val="0"/>
        <w:pageBreakBefore w:val="0"/>
        <w:widowControl w:val="0"/>
        <w:kinsoku/>
        <w:wordWrap/>
        <w:overflowPunct/>
        <w:topLinePunct w:val="0"/>
        <w:autoSpaceDE/>
        <w:autoSpaceDN/>
        <w:bidi w:val="0"/>
        <w:adjustRightInd/>
        <w:snapToGrid/>
        <w:spacing w:line="360" w:lineRule="auto"/>
        <w:ind w:left="2" w:firstLine="480"/>
        <w:jc w:val="both"/>
        <w:textAlignment w:val="auto"/>
        <w:rPr>
          <w:rFonts w:hint="default" w:ascii="宋体" w:hAnsi="宋体" w:eastAsia="宋体" w:cs="宋体"/>
          <w:color w:val="auto"/>
          <w:spacing w:val="-4"/>
          <w:kern w:val="2"/>
          <w:position w:val="17"/>
          <w:sz w:val="24"/>
          <w:szCs w:val="24"/>
          <w:lang w:val="en-US" w:eastAsia="zh-CN" w:bidi="ar-SA"/>
        </w:rPr>
      </w:pPr>
      <w:r>
        <w:rPr>
          <w:rFonts w:hint="eastAsia" w:ascii="宋体" w:hAnsi="宋体" w:eastAsia="宋体" w:cs="宋体"/>
          <w:color w:val="auto"/>
          <w:spacing w:val="-4"/>
          <w:kern w:val="2"/>
          <w:position w:val="17"/>
          <w:sz w:val="24"/>
          <w:szCs w:val="24"/>
          <w:lang w:val="en-US" w:eastAsia="zh-CN" w:bidi="ar-SA"/>
        </w:rPr>
        <w:t>9、其他要求：投标人须承诺：如获得中标资格，在签订合同前须将本项目内采购人认为需提供的产品证明材料原件提交采购人查验，如经采购人核实产品证明材料与招标文件要求不一致的，则视为提供虚假材料谋取中标，采购人有权取消其中标资格并上报财政部门处理。</w:t>
      </w:r>
      <w:r>
        <w:rPr>
          <w:rFonts w:hint="eastAsia" w:ascii="宋体" w:hAnsi="宋体" w:eastAsia="宋体" w:cs="宋体"/>
          <w:b/>
          <w:bCs/>
          <w:color w:val="auto"/>
          <w:spacing w:val="-4"/>
          <w:kern w:val="2"/>
          <w:position w:val="17"/>
          <w:sz w:val="24"/>
          <w:szCs w:val="24"/>
          <w:lang w:val="en-US" w:eastAsia="zh-CN" w:bidi="ar-SA"/>
        </w:rPr>
        <w:t>（单独提供承诺函并加盖投标人鲜章）</w:t>
      </w:r>
    </w:p>
    <w:p w14:paraId="7C0CDD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lang w:val="en-US" w:eastAsia="zh-CN" w:bidi="ar-SA"/>
        </w:rPr>
      </w:pPr>
    </w:p>
    <w:p w14:paraId="75B43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Times New Roman" w:eastAsia="宋体" w:cs="Times New Roman"/>
          <w:kern w:val="0"/>
          <w:sz w:val="34"/>
          <w:szCs w:val="20"/>
          <w:highlight w:val="none"/>
          <w:lang w:val="en-US" w:eastAsia="zh-CN"/>
        </w:rPr>
      </w:pPr>
      <w:r>
        <w:rPr>
          <w:rFonts w:hint="eastAsia" w:ascii="宋体" w:hAnsi="宋体" w:eastAsia="宋体" w:cs="宋体"/>
          <w:color w:val="000000"/>
          <w:kern w:val="0"/>
          <w:sz w:val="24"/>
          <w:lang w:val="en-US" w:eastAsia="zh-CN" w:bidi="ar"/>
        </w:rPr>
        <w:t>10.</w:t>
      </w:r>
      <w:r>
        <w:rPr>
          <w:rFonts w:hint="eastAsia" w:ascii="宋体" w:hAnsi="宋体" w:eastAsia="宋体" w:cs="宋体"/>
          <w:color w:val="000000"/>
          <w:kern w:val="0"/>
          <w:sz w:val="24"/>
          <w:lang w:bidi="ar"/>
        </w:rPr>
        <w:t>响应时间：产品在使用中出现任何问题，采购人与</w:t>
      </w:r>
      <w:r>
        <w:rPr>
          <w:rFonts w:hint="eastAsia" w:ascii="宋体" w:hAnsi="宋体" w:eastAsia="宋体" w:cs="宋体"/>
          <w:color w:val="000000"/>
          <w:kern w:val="0"/>
          <w:sz w:val="24"/>
          <w:lang w:eastAsia="zh-CN" w:bidi="ar"/>
        </w:rPr>
        <w:t>投标人</w:t>
      </w:r>
      <w:r>
        <w:rPr>
          <w:rFonts w:hint="eastAsia" w:ascii="宋体" w:hAnsi="宋体" w:eastAsia="宋体" w:cs="宋体"/>
          <w:color w:val="000000"/>
          <w:kern w:val="0"/>
          <w:sz w:val="24"/>
          <w:lang w:bidi="ar"/>
        </w:rPr>
        <w:t>联系，</w:t>
      </w:r>
      <w:r>
        <w:rPr>
          <w:rFonts w:hint="eastAsia" w:ascii="宋体" w:hAnsi="宋体" w:eastAsia="宋体" w:cs="宋体"/>
          <w:color w:val="000000"/>
          <w:kern w:val="0"/>
          <w:sz w:val="24"/>
          <w:lang w:eastAsia="zh-CN" w:bidi="ar"/>
        </w:rPr>
        <w:t>投标人</w:t>
      </w:r>
      <w:r>
        <w:rPr>
          <w:rFonts w:hint="eastAsia" w:ascii="宋体" w:hAnsi="宋体" w:eastAsia="宋体" w:cs="宋体"/>
          <w:color w:val="000000"/>
          <w:kern w:val="0"/>
          <w:sz w:val="24"/>
          <w:lang w:bidi="ar"/>
        </w:rPr>
        <w:t>在接到故障电话后4小时内响应,24小时内到达现场提供现场服务。</w:t>
      </w:r>
    </w:p>
    <w:p w14:paraId="2D8FD64F">
      <w:pPr>
        <w:widowControl/>
        <w:tabs>
          <w:tab w:val="left" w:pos="420"/>
        </w:tabs>
        <w:spacing w:before="100" w:beforeAutospacing="1" w:after="100" w:afterAutospacing="1" w:line="360" w:lineRule="auto"/>
        <w:jc w:val="left"/>
        <w:outlineLvl w:val="0"/>
        <w:rPr>
          <w:rFonts w:hint="default" w:ascii="宋体" w:hAnsi="宋体" w:eastAsia="宋体" w:cs="宋体"/>
          <w:b/>
          <w:bCs/>
          <w:color w:val="auto"/>
          <w:kern w:val="0"/>
          <w:sz w:val="28"/>
          <w:szCs w:val="20"/>
          <w:highlight w:val="none"/>
          <w:lang w:val="en-US" w:eastAsia="zh-CN" w:bidi="ar-SA"/>
        </w:rPr>
      </w:pPr>
      <w:r>
        <w:rPr>
          <w:rFonts w:hint="eastAsia" w:ascii="宋体" w:hAnsi="宋体" w:eastAsia="宋体" w:cs="宋体"/>
          <w:b/>
          <w:bCs/>
          <w:color w:val="auto"/>
          <w:kern w:val="0"/>
          <w:sz w:val="28"/>
          <w:szCs w:val="20"/>
          <w:highlight w:val="none"/>
          <w:lang w:val="en-US" w:eastAsia="zh-CN" w:bidi="ar-SA"/>
        </w:rPr>
        <w:t>八、履约要求（本项为评审依据，未完全满足仅按要求进行扣分，不影响其投标文件有效性）</w:t>
      </w:r>
    </w:p>
    <w:p w14:paraId="5B3D3C7B">
      <w:pPr>
        <w:widowControl w:val="0"/>
        <w:autoSpaceDE/>
        <w:autoSpaceDN/>
        <w:snapToGrid w:val="0"/>
        <w:spacing w:line="360" w:lineRule="auto"/>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color w:val="000000"/>
          <w:sz w:val="24"/>
          <w:szCs w:val="24"/>
          <w:highlight w:val="none"/>
          <w:lang w:val="en-US" w:eastAsia="zh-CN" w:bidi="ar-SA"/>
        </w:rPr>
        <w:t>1、投标人应提供</w:t>
      </w:r>
      <w:r>
        <w:rPr>
          <w:rFonts w:hint="eastAsia" w:ascii="宋体" w:hAnsi="宋体" w:eastAsia="宋体" w:cs="宋体"/>
          <w:color w:val="auto"/>
          <w:kern w:val="0"/>
          <w:sz w:val="24"/>
          <w:szCs w:val="24"/>
          <w:highlight w:val="none"/>
          <w:lang w:val="en-US" w:eastAsia="zh-CN"/>
        </w:rPr>
        <w:t>项目实施方案，包括但不限于：①质量保障措施；②备货及运输方案；③项目进度计划；④交货及验收方法；</w:t>
      </w:r>
    </w:p>
    <w:p w14:paraId="1EF7FF16">
      <w:pPr>
        <w:widowControl w:val="0"/>
        <w:autoSpaceDE/>
        <w:autoSpaceDN/>
        <w:snapToGrid w:val="0"/>
        <w:spacing w:line="360" w:lineRule="auto"/>
        <w:jc w:val="both"/>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2、投标人应提供售后服务方案，包括但不限于：①售后服务体系、②应急及故障响应方案、③培训计划、④售后服务保障措施。</w:t>
      </w:r>
    </w:p>
    <w:p w14:paraId="7F65B760">
      <w:pPr>
        <w:widowControl w:val="0"/>
        <w:autoSpaceDE/>
        <w:autoSpaceDN/>
        <w:snapToGrid w:val="0"/>
        <w:spacing w:line="360" w:lineRule="auto"/>
        <w:ind w:firstLine="482" w:firstLineChars="200"/>
        <w:jc w:val="center"/>
        <w:rPr>
          <w:rFonts w:hint="eastAsia" w:ascii="宋体" w:hAnsi="宋体" w:eastAsia="宋体" w:cs="宋体"/>
          <w:b/>
          <w:bCs w:val="0"/>
          <w:color w:val="000000"/>
          <w:sz w:val="24"/>
          <w:szCs w:val="24"/>
          <w:highlight w:val="none"/>
          <w:lang w:val="en-US" w:eastAsia="zh-CN" w:bidi="ar-SA"/>
        </w:rPr>
      </w:pPr>
    </w:p>
    <w:p w14:paraId="62BE4DEB">
      <w:pPr>
        <w:widowControl w:val="0"/>
        <w:autoSpaceDE/>
        <w:autoSpaceDN/>
        <w:snapToGrid w:val="0"/>
        <w:spacing w:line="360" w:lineRule="auto"/>
        <w:jc w:val="both"/>
        <w:rPr>
          <w:rFonts w:hint="eastAsia" w:ascii="宋体" w:hAnsi="宋体" w:eastAsia="宋体" w:cs="宋体"/>
          <w:b/>
          <w:bCs w:val="0"/>
          <w:color w:val="000000"/>
          <w:sz w:val="24"/>
          <w:szCs w:val="24"/>
          <w:highlight w:val="none"/>
          <w:lang w:val="en-US" w:eastAsia="zh-CN" w:bidi="ar-SA"/>
        </w:rPr>
      </w:pPr>
    </w:p>
    <w:p w14:paraId="7885BF65">
      <w:pPr>
        <w:widowControl w:val="0"/>
        <w:autoSpaceDE/>
        <w:autoSpaceDN/>
        <w:snapToGrid w:val="0"/>
        <w:spacing w:line="360" w:lineRule="auto"/>
        <w:jc w:val="both"/>
        <w:rPr>
          <w:rFonts w:hint="default" w:ascii="Times New Roman" w:hAnsi="Times New Roman" w:eastAsia="宋体" w:cs="Times New Roman"/>
          <w:sz w:val="21"/>
          <w:highlight w:val="none"/>
          <w:lang w:val="en-US" w:eastAsia="zh-CN"/>
        </w:rPr>
      </w:pPr>
      <w:r>
        <w:rPr>
          <w:rFonts w:hint="eastAsia" w:ascii="宋体" w:hAnsi="宋体" w:eastAsia="宋体" w:cs="宋体"/>
          <w:b/>
          <w:bCs w:val="0"/>
          <w:color w:val="000000"/>
          <w:sz w:val="24"/>
          <w:szCs w:val="24"/>
          <w:highlight w:val="none"/>
          <w:lang w:val="en-US" w:eastAsia="zh-CN" w:bidi="ar-SA"/>
        </w:rPr>
        <w:t>（本章带“★”要求为实质性要求，不满足的作无效响应处理。“▲”为重要参数，不满足仅做扣分处理）</w:t>
      </w:r>
    </w:p>
    <w:p w14:paraId="17018F3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4FCA72B">
      <w:pPr>
        <w:pStyle w:val="28"/>
        <w:rPr>
          <w:rFonts w:hint="eastAsia" w:ascii="Cambria" w:hAnsi="Cambria" w:eastAsia="宋体" w:cs="Times New Roman"/>
          <w:b/>
          <w:bCs/>
          <w:color w:val="auto"/>
          <w:kern w:val="32"/>
          <w:sz w:val="32"/>
          <w:szCs w:val="32"/>
          <w:highlight w:val="none"/>
          <w:lang w:val="en-US" w:eastAsia="zh-CN" w:bidi="ar-SA"/>
        </w:rPr>
      </w:pPr>
    </w:p>
    <w:p w14:paraId="0BB6E296">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r>
        <w:rPr>
          <w:rFonts w:hint="eastAsia" w:ascii="Cambria" w:hAnsi="Cambria" w:eastAsia="宋体" w:cs="Times New Roman"/>
          <w:b/>
          <w:bCs/>
          <w:color w:val="auto"/>
          <w:kern w:val="32"/>
          <w:sz w:val="32"/>
          <w:szCs w:val="32"/>
          <w:highlight w:val="none"/>
          <w:lang w:val="en-US" w:eastAsia="zh-CN" w:bidi="ar-SA"/>
        </w:rPr>
        <w:t>第七章  评标办法</w:t>
      </w:r>
      <w:bookmarkEnd w:id="173"/>
      <w:bookmarkEnd w:id="174"/>
      <w:bookmarkEnd w:id="175"/>
      <w:bookmarkStart w:id="177" w:name="_Hlt101846155"/>
      <w:bookmarkEnd w:id="177"/>
      <w:bookmarkStart w:id="178" w:name="_Toc183682415"/>
      <w:bookmarkStart w:id="179" w:name="_Toc217446097"/>
      <w:bookmarkStart w:id="180" w:name="_Toc183582280"/>
      <w:bookmarkStart w:id="181" w:name="_Toc208849007"/>
    </w:p>
    <w:bookmarkEnd w:id="176"/>
    <w:bookmarkEnd w:id="178"/>
    <w:bookmarkEnd w:id="179"/>
    <w:bookmarkEnd w:id="180"/>
    <w:bookmarkEnd w:id="181"/>
    <w:p w14:paraId="629CF4F0">
      <w:pPr>
        <w:pStyle w:val="4"/>
        <w:keepLines w:val="0"/>
        <w:pageBreakBefore w:val="0"/>
        <w:kinsoku/>
        <w:overflowPunct/>
        <w:bidi w:val="0"/>
        <w:spacing w:before="0" w:after="0" w:line="360" w:lineRule="auto"/>
        <w:ind w:firstLine="482"/>
        <w:rPr>
          <w:color w:val="auto"/>
          <w:highlight w:val="none"/>
        </w:rPr>
      </w:pPr>
      <w:r>
        <w:rPr>
          <w:rFonts w:hint="eastAsia"/>
          <w:color w:val="auto"/>
          <w:highlight w:val="none"/>
        </w:rPr>
        <w:t>1. 总则</w:t>
      </w:r>
    </w:p>
    <w:p w14:paraId="7356207C">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1.1 根据《中华人民共和国政府采购法》、《中华人民共和国政府采购法实施条例》、《政府采购货物和服务招标投标管理办法》等法律法规，结合采购项目特点制定本评标办法。</w:t>
      </w:r>
    </w:p>
    <w:p w14:paraId="19A23FE9">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 xml:space="preserve">1.2 </w:t>
      </w:r>
      <w:r>
        <w:rPr>
          <w:rFonts w:hint="eastAsia"/>
          <w:bCs/>
          <w:color w:val="auto"/>
          <w:highlight w:val="none"/>
        </w:rPr>
        <w:t>评标工作由采购代理机构负责组织，具体评标事务由采购代理机构依法组建的评标委员会负责。评标委员会由采购人代表和有关技术、经济等方面的专家组成。</w:t>
      </w:r>
    </w:p>
    <w:p w14:paraId="3DA3273B">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1.3 评标工作应遵循公平、公正、科学及择优的原则，并以相同的评标程序和标准对待所有的投标人。</w:t>
      </w:r>
    </w:p>
    <w:p w14:paraId="23D218FE">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1.4 评标委员会按照招标文件规定的评标方法和标准进行评标，并独立履行下列职责：</w:t>
      </w:r>
    </w:p>
    <w:p w14:paraId="6A5E1945">
      <w:pPr>
        <w:keepLines w:val="0"/>
        <w:pageBreakBefore w:val="0"/>
        <w:kinsoku/>
        <w:overflowPunct/>
        <w:bidi w:val="0"/>
        <w:snapToGrid w:val="0"/>
        <w:spacing w:line="360" w:lineRule="auto"/>
        <w:ind w:firstLine="480" w:firstLineChars="200"/>
        <w:rPr>
          <w:color w:val="auto"/>
          <w:highlight w:val="none"/>
        </w:rPr>
      </w:pPr>
      <w:bookmarkStart w:id="182" w:name="_Toc217446098"/>
      <w:r>
        <w:rPr>
          <w:rFonts w:hint="eastAsia"/>
          <w:color w:val="auto"/>
          <w:highlight w:val="none"/>
        </w:rPr>
        <w:t>（一）熟悉和理解招标文件；</w:t>
      </w:r>
    </w:p>
    <w:p w14:paraId="54475F3C">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（二）审查供应商投标文件等是否满足招标文件要求，并作出评价；</w:t>
      </w:r>
    </w:p>
    <w:p w14:paraId="2D902BDF">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（三）根据需要要求招标采购单位对招标文件作出解释；根据需要要求供应商对投标文件有关事项作出澄清、说明或者补正；</w:t>
      </w:r>
    </w:p>
    <w:p w14:paraId="38DFF167">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（四）推荐中标候选供应商，或者受采购人委托确定中标供应商；</w:t>
      </w:r>
    </w:p>
    <w:p w14:paraId="20B03C5D">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（五）起草评标报告并进行签署；</w:t>
      </w:r>
    </w:p>
    <w:p w14:paraId="253169A3">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（六）向招标采购单位、财政部门或者其他监督部门报告非法干预评标工作的行为；</w:t>
      </w:r>
    </w:p>
    <w:p w14:paraId="587723CF">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（七）法律、法规和规章规定的其他职责。</w:t>
      </w:r>
    </w:p>
    <w:p w14:paraId="2DA75ADC">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1.5 评标过程独立、保密。投标人非法干预评标过程的行为将导致其投标文件作为无效处理。</w:t>
      </w:r>
    </w:p>
    <w:p w14:paraId="57B8133E">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1.6评标委员会评价投标文件的响应性，对于投标人而言，除评标委员会要求其澄清、说明或者补正而提供的资料外，仅依据投标文件本身的内容，不寻求其他外部证据。</w:t>
      </w:r>
    </w:p>
    <w:p w14:paraId="13D78D30">
      <w:pPr>
        <w:pStyle w:val="4"/>
        <w:keepLines w:val="0"/>
        <w:pageBreakBefore w:val="0"/>
        <w:kinsoku/>
        <w:overflowPunct/>
        <w:bidi w:val="0"/>
        <w:spacing w:before="0" w:after="0" w:line="360" w:lineRule="auto"/>
        <w:ind w:firstLine="482"/>
        <w:rPr>
          <w:rFonts w:ascii="黑体" w:eastAsia="黑体"/>
          <w:color w:val="auto"/>
          <w:highlight w:val="none"/>
        </w:rPr>
      </w:pPr>
      <w:r>
        <w:rPr>
          <w:rFonts w:hint="eastAsia"/>
          <w:color w:val="auto"/>
          <w:highlight w:val="none"/>
        </w:rPr>
        <w:t>2、评标方法</w:t>
      </w:r>
    </w:p>
    <w:p w14:paraId="6E35A085">
      <w:pPr>
        <w:keepLines w:val="0"/>
        <w:pageBreakBefore w:val="0"/>
        <w:kinsoku/>
        <w:overflowPunct/>
        <w:bidi w:val="0"/>
        <w:snapToGrid w:val="0"/>
        <w:spacing w:line="360" w:lineRule="auto"/>
        <w:ind w:firstLine="480" w:firstLineChars="200"/>
      </w:pPr>
      <w:r>
        <w:rPr>
          <w:rFonts w:hint="eastAsia"/>
          <w:color w:val="auto"/>
          <w:highlight w:val="none"/>
        </w:rPr>
        <w:t>本项目评标方法为：综合评分法。</w:t>
      </w:r>
    </w:p>
    <w:p w14:paraId="00BAC8AE">
      <w:pPr>
        <w:pStyle w:val="4"/>
        <w:keepLines w:val="0"/>
        <w:pageBreakBefore w:val="0"/>
        <w:kinsoku/>
        <w:overflowPunct/>
        <w:bidi w:val="0"/>
        <w:spacing w:before="0" w:after="0" w:line="360" w:lineRule="auto"/>
        <w:ind w:firstLine="482"/>
        <w:rPr>
          <w:rFonts w:ascii="黑体" w:eastAsia="黑体"/>
          <w:b w:val="0"/>
          <w:color w:val="auto"/>
          <w:highlight w:val="none"/>
        </w:rPr>
      </w:pPr>
      <w:r>
        <w:rPr>
          <w:rFonts w:hint="eastAsia"/>
          <w:color w:val="auto"/>
          <w:highlight w:val="none"/>
        </w:rPr>
        <w:t>3、 评标程序</w:t>
      </w:r>
      <w:bookmarkEnd w:id="182"/>
    </w:p>
    <w:p w14:paraId="071994DB">
      <w:pPr>
        <w:keepLines w:val="0"/>
        <w:pageBreakBefore w:val="0"/>
        <w:kinsoku/>
        <w:overflowPunct/>
        <w:bidi w:val="0"/>
        <w:snapToGrid w:val="0"/>
        <w:spacing w:line="360" w:lineRule="auto"/>
        <w:ind w:firstLine="480" w:firstLineChars="200"/>
        <w:rPr>
          <w:color w:val="auto"/>
          <w:highlight w:val="none"/>
        </w:rPr>
      </w:pPr>
      <w:bookmarkStart w:id="183" w:name="_Toc217446103"/>
      <w:r>
        <w:rPr>
          <w:rFonts w:hint="eastAsia"/>
          <w:color w:val="auto"/>
          <w:highlight w:val="none"/>
        </w:rPr>
        <w:t>3.1熟悉和理解招标文件和停止评标。</w:t>
      </w:r>
    </w:p>
    <w:p w14:paraId="49388121">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3.1.1评标委员会正式评标前，应当对招标文件进行熟悉和理解，内容主要包括招标文件中投标人的采购项目技术、服务和商务要求、评标方法和标准以及可能涉及签订政府采购合同的内容等。</w:t>
      </w:r>
    </w:p>
    <w:p w14:paraId="24B1B56B">
      <w:pPr>
        <w:keepLines w:val="0"/>
        <w:pageBreakBefore w:val="0"/>
        <w:kinsoku/>
        <w:overflowPunct/>
        <w:bidi w:val="0"/>
        <w:spacing w:line="360" w:lineRule="auto"/>
        <w:ind w:firstLine="480" w:firstLineChars="200"/>
        <w:rPr>
          <w:rFonts w:hint="eastAsia"/>
          <w:color w:val="auto"/>
          <w:highlight w:val="none"/>
        </w:rPr>
      </w:pPr>
    </w:p>
    <w:p w14:paraId="2723A81E">
      <w:pPr>
        <w:keepLines w:val="0"/>
        <w:pageBreakBefore w:val="0"/>
        <w:kinsoku/>
        <w:overflowPunct/>
        <w:bidi w:val="0"/>
        <w:spacing w:line="360" w:lineRule="auto"/>
        <w:ind w:firstLine="480" w:firstLineChars="200"/>
        <w:rPr>
          <w:color w:val="auto"/>
          <w:highlight w:val="none"/>
        </w:rPr>
      </w:pPr>
      <w:r>
        <w:rPr>
          <w:rFonts w:hint="eastAsia"/>
          <w:color w:val="auto"/>
          <w:highlight w:val="none"/>
        </w:rPr>
        <w:t>3.1.2评标委员会熟悉和理解招标文件以及评标过程中，发现本招标文件有下列情形之一的，评标委员会应当停止评标：</w:t>
      </w:r>
    </w:p>
    <w:p w14:paraId="2801DF05">
      <w:pPr>
        <w:keepLines w:val="0"/>
        <w:pageBreakBefore w:val="0"/>
        <w:kinsoku/>
        <w:overflowPunct/>
        <w:bidi w:val="0"/>
        <w:spacing w:line="360" w:lineRule="auto"/>
        <w:ind w:firstLine="480" w:firstLineChars="200"/>
        <w:rPr>
          <w:color w:val="auto"/>
          <w:highlight w:val="none"/>
        </w:rPr>
      </w:pPr>
      <w:r>
        <w:rPr>
          <w:rFonts w:hint="eastAsia"/>
          <w:color w:val="auto"/>
          <w:highlight w:val="none"/>
        </w:rPr>
        <w:t>（1）招标文件的规定存在歧义、重大缺陷的；</w:t>
      </w:r>
    </w:p>
    <w:p w14:paraId="0702792D">
      <w:pPr>
        <w:keepLines w:val="0"/>
        <w:pageBreakBefore w:val="0"/>
        <w:kinsoku/>
        <w:overflowPunct/>
        <w:bidi w:val="0"/>
        <w:spacing w:line="360" w:lineRule="auto"/>
        <w:ind w:firstLine="480" w:firstLineChars="200"/>
        <w:rPr>
          <w:color w:val="auto"/>
          <w:highlight w:val="none"/>
        </w:rPr>
      </w:pPr>
      <w:r>
        <w:rPr>
          <w:rFonts w:hint="eastAsia"/>
          <w:color w:val="auto"/>
          <w:highlight w:val="none"/>
        </w:rPr>
        <w:t>（2）招标文件明显以不合理条件对供应商实行差别待遇或者歧视待遇的；</w:t>
      </w:r>
    </w:p>
    <w:p w14:paraId="4DDBAAEC">
      <w:pPr>
        <w:keepLines w:val="0"/>
        <w:pageBreakBefore w:val="0"/>
        <w:kinsoku/>
        <w:overflowPunct/>
        <w:bidi w:val="0"/>
        <w:spacing w:line="360" w:lineRule="auto"/>
        <w:ind w:firstLine="480" w:firstLineChars="200"/>
        <w:rPr>
          <w:color w:val="auto"/>
          <w:highlight w:val="none"/>
        </w:rPr>
      </w:pPr>
      <w:r>
        <w:rPr>
          <w:rFonts w:hint="eastAsia"/>
          <w:color w:val="auto"/>
          <w:highlight w:val="none"/>
        </w:rPr>
        <w:t>（3）采购项目属于国家规定的优先、强制采购范围，但是招标文件未依法体现优先、强制采购相关规定的；</w:t>
      </w:r>
    </w:p>
    <w:p w14:paraId="444439AF">
      <w:pPr>
        <w:keepLines w:val="0"/>
        <w:pageBreakBefore w:val="0"/>
        <w:kinsoku/>
        <w:overflowPunct/>
        <w:bidi w:val="0"/>
        <w:spacing w:line="360" w:lineRule="auto"/>
        <w:ind w:firstLine="480" w:firstLineChars="200"/>
        <w:rPr>
          <w:color w:val="auto"/>
          <w:highlight w:val="none"/>
        </w:rPr>
      </w:pPr>
      <w:r>
        <w:rPr>
          <w:rFonts w:hint="eastAsia"/>
          <w:color w:val="auto"/>
          <w:highlight w:val="none"/>
        </w:rPr>
        <w:t>（4）采购项目属于政府采购促进中小企业发展的范围，但是招标文件未依法体现促进中小企业发展相关规定的；</w:t>
      </w:r>
    </w:p>
    <w:p w14:paraId="2320BE99">
      <w:pPr>
        <w:keepLines w:val="0"/>
        <w:pageBreakBefore w:val="0"/>
        <w:kinsoku/>
        <w:overflowPunct/>
        <w:bidi w:val="0"/>
        <w:spacing w:line="360" w:lineRule="auto"/>
        <w:ind w:firstLine="480" w:firstLineChars="200"/>
        <w:rPr>
          <w:color w:val="auto"/>
          <w:highlight w:val="none"/>
        </w:rPr>
      </w:pPr>
      <w:r>
        <w:rPr>
          <w:rFonts w:hint="eastAsia"/>
          <w:color w:val="auto"/>
          <w:highlight w:val="none"/>
        </w:rPr>
        <w:t>（5）招标文件规定的评标方法是综合评分法、最低评标价法之外的评标方法，或者虽然名称为综合评分法、最低评标价法，但实际上不符合国家规定；</w:t>
      </w:r>
    </w:p>
    <w:p w14:paraId="4AC88431">
      <w:pPr>
        <w:keepLines w:val="0"/>
        <w:pageBreakBefore w:val="0"/>
        <w:kinsoku/>
        <w:overflowPunct/>
        <w:bidi w:val="0"/>
        <w:spacing w:line="360" w:lineRule="auto"/>
        <w:ind w:firstLine="480" w:firstLineChars="200"/>
        <w:rPr>
          <w:color w:val="auto"/>
          <w:highlight w:val="none"/>
        </w:rPr>
      </w:pPr>
      <w:r>
        <w:rPr>
          <w:rFonts w:hint="eastAsia"/>
          <w:color w:val="auto"/>
          <w:highlight w:val="none"/>
        </w:rPr>
        <w:t>（6）招标文件将投标人的资格条件列为评分因素的；</w:t>
      </w:r>
    </w:p>
    <w:p w14:paraId="28F88C2F">
      <w:pPr>
        <w:keepLines w:val="0"/>
        <w:pageBreakBefore w:val="0"/>
        <w:kinsoku/>
        <w:overflowPunct/>
        <w:bidi w:val="0"/>
        <w:spacing w:line="360" w:lineRule="auto"/>
        <w:ind w:firstLine="480" w:firstLineChars="200"/>
        <w:rPr>
          <w:color w:val="auto"/>
          <w:highlight w:val="none"/>
        </w:rPr>
      </w:pPr>
      <w:r>
        <w:rPr>
          <w:rFonts w:hint="eastAsia"/>
          <w:color w:val="auto"/>
          <w:highlight w:val="none"/>
        </w:rPr>
        <w:t>（7）招标文件有违反国家其他有关强制性规定的情形。</w:t>
      </w:r>
    </w:p>
    <w:p w14:paraId="5611CF1C">
      <w:pPr>
        <w:keepLines w:val="0"/>
        <w:pageBreakBefore w:val="0"/>
        <w:kinsoku/>
        <w:overflowPunct/>
        <w:bidi w:val="0"/>
        <w:spacing w:line="360" w:lineRule="auto"/>
        <w:ind w:firstLine="480" w:firstLineChars="200"/>
        <w:rPr>
          <w:color w:val="auto"/>
          <w:highlight w:val="none"/>
        </w:rPr>
      </w:pPr>
      <w:r>
        <w:rPr>
          <w:rFonts w:hint="eastAsia"/>
          <w:color w:val="auto"/>
          <w:highlight w:val="none"/>
        </w:rPr>
        <w:t>3.1.4出现本条3.1.2规定应当停止评标情形的，评标委员会成员应当向招标采购单位书面说明情况。除本条规定和评标委员会无法依法组建的情形外，评标委员会成员不得以任何方式和理由停止评标。</w:t>
      </w:r>
    </w:p>
    <w:p w14:paraId="0C9CAA59">
      <w:pPr>
        <w:keepLines w:val="0"/>
        <w:pageBreakBefore w:val="0"/>
        <w:kinsoku/>
        <w:overflowPunct/>
        <w:bidi w:val="0"/>
        <w:spacing w:line="360" w:lineRule="auto"/>
        <w:ind w:firstLine="480" w:firstLineChars="200"/>
        <w:rPr>
          <w:color w:val="auto"/>
          <w:highlight w:val="none"/>
        </w:rPr>
      </w:pPr>
      <w:r>
        <w:rPr>
          <w:rFonts w:hint="eastAsia"/>
          <w:color w:val="auto"/>
          <w:highlight w:val="none"/>
        </w:rPr>
        <w:t>3.2资格性检查。</w:t>
      </w:r>
    </w:p>
    <w:p w14:paraId="70A873EB">
      <w:pPr>
        <w:keepLines w:val="0"/>
        <w:pageBreakBefore w:val="0"/>
        <w:kinsoku/>
        <w:overflowPunct/>
        <w:bidi w:val="0"/>
        <w:spacing w:line="360" w:lineRule="auto"/>
        <w:ind w:firstLine="480" w:firstLineChars="200"/>
        <w:rPr>
          <w:color w:val="auto"/>
          <w:highlight w:val="none"/>
        </w:rPr>
      </w:pPr>
      <w:r>
        <w:rPr>
          <w:rFonts w:hint="eastAsia"/>
          <w:color w:val="auto"/>
          <w:highlight w:val="none"/>
        </w:rPr>
        <w:t>采购人或者采购代理机构应依据法律法规和本招标文件的规定，对投标文件是否按照规定要求提供资格性证明材料、是否按照规定交纳投标保证金</w:t>
      </w:r>
      <w:r>
        <w:rPr>
          <w:rFonts w:hint="eastAsia" w:hAnsi="宋体" w:cs="宋体"/>
          <w:color w:val="auto"/>
          <w:highlight w:val="none"/>
        </w:rPr>
        <w:t>（如有）</w:t>
      </w:r>
      <w:r>
        <w:rPr>
          <w:rFonts w:hint="eastAsia"/>
          <w:color w:val="auto"/>
          <w:highlight w:val="none"/>
        </w:rPr>
        <w:t>、是否属于禁止参加投标的供应商等进行审查，以确定投标供应商是否具备投标资格。</w:t>
      </w:r>
    </w:p>
    <w:p w14:paraId="353756B0">
      <w:pPr>
        <w:keepLines w:val="0"/>
        <w:pageBreakBefore w:val="0"/>
        <w:kinsoku/>
        <w:overflowPunct/>
        <w:bidi w:val="0"/>
        <w:spacing w:line="360" w:lineRule="auto"/>
        <w:ind w:firstLine="480" w:firstLineChars="200"/>
        <w:rPr>
          <w:color w:val="auto"/>
          <w:highlight w:val="none"/>
        </w:rPr>
      </w:pPr>
      <w:r>
        <w:rPr>
          <w:rFonts w:hint="eastAsia"/>
          <w:color w:val="auto"/>
          <w:highlight w:val="none"/>
        </w:rPr>
        <w:t>3.3符合性检查。</w:t>
      </w:r>
    </w:p>
    <w:p w14:paraId="13C5FE57">
      <w:pPr>
        <w:keepLines w:val="0"/>
        <w:pageBreakBefore w:val="0"/>
        <w:kinsoku/>
        <w:overflowPunct/>
        <w:bidi w:val="0"/>
        <w:spacing w:line="360" w:lineRule="auto"/>
        <w:ind w:firstLine="480" w:firstLineChars="200"/>
        <w:rPr>
          <w:color w:val="auto"/>
          <w:highlight w:val="none"/>
        </w:rPr>
      </w:pPr>
      <w:r>
        <w:rPr>
          <w:rFonts w:hint="eastAsia"/>
          <w:color w:val="auto"/>
          <w:highlight w:val="none"/>
        </w:rPr>
        <w:t>3.3.1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0FAEE0F">
      <w:pPr>
        <w:keepLines w:val="0"/>
        <w:pageBreakBefore w:val="0"/>
        <w:kinsoku/>
        <w:overflowPunct/>
        <w:bidi w:val="0"/>
        <w:spacing w:line="360" w:lineRule="auto"/>
        <w:ind w:firstLine="480" w:firstLineChars="200"/>
        <w:rPr>
          <w:color w:val="auto"/>
          <w:highlight w:val="none"/>
        </w:rPr>
      </w:pPr>
      <w:r>
        <w:rPr>
          <w:rFonts w:hint="eastAsia"/>
          <w:color w:val="auto"/>
          <w:highlight w:val="none"/>
        </w:rPr>
        <w:t>3.3.2投标文件（包括单独递交的开标一览表）有下列情形的，本项目不作为实质性要求进行规定，即不作为符合性审查事项，不得作为无效投标处理：</w:t>
      </w:r>
    </w:p>
    <w:p w14:paraId="45D2BEAE">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一</w:t>
      </w:r>
      <w:r>
        <w:rPr>
          <w:rFonts w:hint="eastAsia"/>
          <w:color w:val="auto"/>
          <w:highlight w:val="none"/>
        </w:rPr>
        <w:t>）存在个别地方（不超过2个）没有法定代表人签字，但有法定代表人的私人印章或者有效授权代理人签字的；</w:t>
      </w:r>
    </w:p>
    <w:p w14:paraId="570DD246">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二</w:t>
      </w:r>
      <w:r>
        <w:rPr>
          <w:rFonts w:hint="eastAsia"/>
          <w:color w:val="auto"/>
          <w:highlight w:val="none"/>
        </w:rPr>
        <w:t>）除招标文件明确要求加盖单位(法人)公章的以外，其他地方以相关专用章加盖的；</w:t>
      </w:r>
    </w:p>
    <w:p w14:paraId="69BF7C0C">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三</w:t>
      </w:r>
      <w:r>
        <w:rPr>
          <w:rFonts w:hint="eastAsia"/>
          <w:color w:val="auto"/>
          <w:highlight w:val="none"/>
        </w:rPr>
        <w:t>）其他不影响采购项目实质性要求的情形。</w:t>
      </w:r>
    </w:p>
    <w:p w14:paraId="08AA8EF9">
      <w:pPr>
        <w:keepLines w:val="0"/>
        <w:pageBreakBefore w:val="0"/>
        <w:kinsoku/>
        <w:overflowPunct/>
        <w:bidi w:val="0"/>
        <w:spacing w:line="360" w:lineRule="auto"/>
        <w:ind w:firstLine="480" w:firstLineChars="200"/>
        <w:rPr>
          <w:color w:val="auto"/>
          <w:highlight w:val="none"/>
        </w:rPr>
      </w:pPr>
      <w:r>
        <w:rPr>
          <w:rFonts w:hint="eastAsia"/>
          <w:color w:val="auto"/>
          <w:highlight w:val="none"/>
        </w:rPr>
        <w:t>3.3.3除政府采购法律制度规定的情形外，本项目投标人或者其投标文件有下列情形之一的，作为无效投标处理：</w:t>
      </w:r>
    </w:p>
    <w:p w14:paraId="093E5E96">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（一）投标文件正副本数量不足的或无单独递交的“开标一览表”的。</w:t>
      </w:r>
    </w:p>
    <w:p w14:paraId="1E010AC3">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（二）投标文件组成明显不符合招标文件的规定要求，影响评标委员会评判的；</w:t>
      </w:r>
    </w:p>
    <w:p w14:paraId="73DD9D8B">
      <w:pPr>
        <w:keepLines w:val="0"/>
        <w:pageBreakBefore w:val="0"/>
        <w:kinsoku/>
        <w:overflowPunct/>
        <w:bidi w:val="0"/>
        <w:spacing w:line="360" w:lineRule="auto"/>
        <w:ind w:firstLine="480" w:firstLineChars="200"/>
        <w:rPr>
          <w:color w:val="auto"/>
          <w:highlight w:val="none"/>
        </w:rPr>
      </w:pPr>
      <w:r>
        <w:rPr>
          <w:rFonts w:hint="eastAsia"/>
          <w:color w:val="auto"/>
          <w:highlight w:val="none"/>
        </w:rPr>
        <w:t>（三）投标文件的格式、语言、计量单位、报价货币、知识产权、投标有效期等不符合招标文件的规定，影响评标委员会评判的；</w:t>
      </w:r>
    </w:p>
    <w:p w14:paraId="234BBF2A">
      <w:pPr>
        <w:keepLines w:val="0"/>
        <w:pageBreakBefore w:val="0"/>
        <w:kinsoku/>
        <w:overflowPunct/>
        <w:bidi w:val="0"/>
        <w:spacing w:line="360" w:lineRule="auto"/>
        <w:ind w:firstLine="480" w:firstLineChars="200"/>
        <w:rPr>
          <w:color w:val="auto"/>
          <w:highlight w:val="none"/>
        </w:rPr>
      </w:pPr>
      <w:r>
        <w:rPr>
          <w:rFonts w:hint="eastAsia"/>
          <w:color w:val="auto"/>
          <w:highlight w:val="none"/>
        </w:rPr>
        <w:t>（四）投标报价不符合招标文件规定的价格标底和其他报价规定的；</w:t>
      </w:r>
    </w:p>
    <w:p w14:paraId="0A5FE646">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五</w:t>
      </w:r>
      <w:r>
        <w:rPr>
          <w:rFonts w:hint="eastAsia"/>
          <w:color w:val="auto"/>
          <w:highlight w:val="none"/>
        </w:rPr>
        <w:t>）技术、服务应答内容没有完全响应招标文件的实质性要求的；</w:t>
      </w:r>
    </w:p>
    <w:p w14:paraId="08332F29">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六</w:t>
      </w:r>
      <w:r>
        <w:rPr>
          <w:rFonts w:hint="eastAsia"/>
          <w:color w:val="auto"/>
          <w:highlight w:val="none"/>
        </w:rPr>
        <w:t>）招标文件有明确要求，但投标文件未载明或者载明的采购项目履约时间、方式、数量与招标文件要求不一致的。</w:t>
      </w:r>
    </w:p>
    <w:p w14:paraId="237A8D37">
      <w:pPr>
        <w:keepLines w:val="0"/>
        <w:pageBreakBefore w:val="0"/>
        <w:kinsoku/>
        <w:overflowPunct/>
        <w:bidi w:val="0"/>
        <w:spacing w:line="360" w:lineRule="auto"/>
        <w:ind w:firstLine="480" w:firstLineChars="200"/>
        <w:rPr>
          <w:color w:val="auto"/>
          <w:highlight w:val="none"/>
        </w:rPr>
      </w:pPr>
      <w:r>
        <w:rPr>
          <w:rFonts w:hint="eastAsia"/>
          <w:color w:val="auto"/>
          <w:highlight w:val="none"/>
        </w:rPr>
        <w:t>3.4比较与评价。按招标文件中规定的评标方法和标准，对未作无效投标处理的投标文件进行技术、服务、商务等方面评估，综合比较与评价。</w:t>
      </w:r>
    </w:p>
    <w:p w14:paraId="66AA5BFD">
      <w:pPr>
        <w:keepLines w:val="0"/>
        <w:pageBreakBefore w:val="0"/>
        <w:kinsoku/>
        <w:overflowPunct/>
        <w:bidi w:val="0"/>
        <w:spacing w:line="360" w:lineRule="auto"/>
        <w:ind w:firstLine="480" w:firstLineChars="200"/>
        <w:rPr>
          <w:color w:val="auto"/>
          <w:highlight w:val="none"/>
        </w:rPr>
      </w:pPr>
      <w:r>
        <w:rPr>
          <w:rFonts w:hint="eastAsia"/>
          <w:color w:val="auto"/>
          <w:highlight w:val="none"/>
        </w:rPr>
        <w:t>3.5复核。评分汇总结束后，评标委员会应当进行复核，特别要对拟推荐为中标候选供应商的、报价最低的、投标文件被认定为无效的进行重点复核。</w:t>
      </w:r>
    </w:p>
    <w:p w14:paraId="7429AAB1">
      <w:pPr>
        <w:keepLines w:val="0"/>
        <w:pageBreakBefore w:val="0"/>
        <w:kinsoku/>
        <w:overflowPunct/>
        <w:bidi w:val="0"/>
        <w:spacing w:line="360" w:lineRule="auto"/>
        <w:ind w:firstLine="480" w:firstLineChars="200"/>
        <w:rPr>
          <w:rFonts w:hint="eastAsia"/>
          <w:color w:val="auto"/>
          <w:highlight w:val="none"/>
        </w:rPr>
      </w:pPr>
      <w:r>
        <w:rPr>
          <w:rFonts w:hint="eastAsia"/>
          <w:color w:val="auto"/>
          <w:highlight w:val="none"/>
        </w:rPr>
        <w:t>3.6推荐中标候选供应商。按供应商评审得分从高到低顺序排列。响应文件满足</w:t>
      </w:r>
      <w:r>
        <w:rPr>
          <w:rFonts w:hint="eastAsia"/>
          <w:color w:val="auto"/>
          <w:highlight w:val="none"/>
          <w:lang w:val="en-US" w:eastAsia="zh-CN"/>
        </w:rPr>
        <w:t>招标</w:t>
      </w:r>
      <w:r>
        <w:rPr>
          <w:rFonts w:hint="eastAsia"/>
          <w:color w:val="auto"/>
          <w:highlight w:val="none"/>
        </w:rPr>
        <w:t xml:space="preserve">文件全部实质性要求，且按照评审因素的量化指标评审得分最高的供应商为排名第一的成交候选供应商。评审得分相同的，按最后报价由低到高顺序排列。评审得分且最后报价相同的，按照技术指标优劣（本项目的技术指标为： </w:t>
      </w:r>
      <w:r>
        <w:rPr>
          <w:rFonts w:hint="eastAsia" w:ascii="宋体" w:hAnsi="宋体" w:eastAsia="宋体" w:cs="宋体"/>
          <w:snapToGrid/>
          <w:sz w:val="24"/>
          <w:szCs w:val="24"/>
        </w:rPr>
        <w:t>项目进度计划</w:t>
      </w:r>
      <w:r>
        <w:rPr>
          <w:rFonts w:hint="eastAsia"/>
          <w:color w:val="auto"/>
          <w:highlight w:val="none"/>
        </w:rPr>
        <w:t xml:space="preserve"> ，按照技术指标得分确定优劣）顺序排列；评审得分且最后报价且技术指标得分均相同的，按供应商提供的经评审认定有效的优先采购产品认证证书数量由多到少顺序排列；评审得分且最后报价且技术指标且提供的经评审认定有效的优先采购产品认证证书数量相同的并列。供应商响应的产品同时具有节能产品认证证书、环境标志产品认证证书的，按认定有效的节能产品认证证书、环境标志产品认证证书数量累计计算。成交候选供应商并列的，由</w:t>
      </w:r>
      <w:r>
        <w:rPr>
          <w:rFonts w:hint="eastAsia"/>
          <w:color w:val="auto"/>
          <w:highlight w:val="none"/>
          <w:lang w:val="en-US" w:eastAsia="zh-CN"/>
        </w:rPr>
        <w:t>评审委员会</w:t>
      </w:r>
      <w:r>
        <w:rPr>
          <w:rFonts w:hint="eastAsia"/>
          <w:color w:val="auto"/>
          <w:highlight w:val="none"/>
        </w:rPr>
        <w:t>根据</w:t>
      </w:r>
      <w:r>
        <w:rPr>
          <w:rFonts w:hint="eastAsia"/>
          <w:color w:val="auto"/>
          <w:highlight w:val="none"/>
          <w:lang w:val="en-US" w:eastAsia="zh-CN"/>
        </w:rPr>
        <w:t>招标</w:t>
      </w:r>
      <w:r>
        <w:rPr>
          <w:rFonts w:hint="eastAsia"/>
          <w:color w:val="auto"/>
          <w:highlight w:val="none"/>
        </w:rPr>
        <w:t>文件规定的推荐成交候选供应商数量，在排名并列的成交候选供应商中，采取随机抽取的方式确定成交候选供应商排名顺序。</w:t>
      </w:r>
    </w:p>
    <w:p w14:paraId="3A07CC40">
      <w:pPr>
        <w:keepLines w:val="0"/>
        <w:pageBreakBefore w:val="0"/>
        <w:kinsoku/>
        <w:overflowPunct/>
        <w:bidi w:val="0"/>
        <w:spacing w:line="360" w:lineRule="auto"/>
        <w:ind w:firstLine="480" w:firstLineChars="200"/>
        <w:rPr>
          <w:color w:val="auto"/>
          <w:highlight w:val="none"/>
        </w:rPr>
      </w:pPr>
      <w:r>
        <w:rPr>
          <w:rFonts w:hint="eastAsia"/>
          <w:color w:val="auto"/>
          <w:highlight w:val="none"/>
        </w:rPr>
        <w:t>如本项目的采购包涉及核心产品的，在按供应商评审得分从高到低顺序排列环节前，对提供相同品牌产品且通过资格审查、符合性审查的不同供应商参加同一合同项下响应的，按一家供应商计算（任意一个核心产品是相同品牌时视为提供相同品牌产品的供应商），评审后得分最高的同品牌供应商获得成交供应商推荐资格；评审得分相同的，由采购人或者采购人委托磋商小组采取随机抽取方式确定一名供应商获得成交供应商推荐资格，其他同品牌供应商不作为成交候选供应商。未被推荐为成交候选供应商的供应商不再递补为成交候选供应商。</w:t>
      </w:r>
    </w:p>
    <w:p w14:paraId="6898CD56">
      <w:pPr>
        <w:keepLines w:val="0"/>
        <w:pageBreakBefore w:val="0"/>
        <w:kinsoku/>
        <w:overflowPunct/>
        <w:bidi w:val="0"/>
        <w:spacing w:line="360" w:lineRule="auto"/>
        <w:ind w:firstLine="480" w:firstLineChars="200"/>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43C4AC">
      <w:pPr>
        <w:keepLines w:val="0"/>
        <w:pageBreakBefore w:val="0"/>
        <w:kinsoku/>
        <w:overflowPunct/>
        <w:bidi w:val="0"/>
        <w:spacing w:line="360" w:lineRule="auto"/>
        <w:ind w:firstLine="480" w:firstLineChars="200"/>
        <w:rPr>
          <w:color w:val="auto"/>
          <w:highlight w:val="none"/>
        </w:rPr>
      </w:pPr>
      <w:r>
        <w:rPr>
          <w:rFonts w:hint="eastAsia"/>
          <w:color w:val="auto"/>
          <w:highlight w:val="none"/>
        </w:rPr>
        <w:t>3.7出具评标报告。评标委员会推荐中标候选供应商后，应当向招标采购单位出具评标报告。评标报告应当包括下列内容：</w:t>
      </w:r>
    </w:p>
    <w:p w14:paraId="7558635E">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（一）招标公告刊登的媒体名称、开标日期和地点；</w:t>
      </w:r>
    </w:p>
    <w:p w14:paraId="7D13C206">
      <w:pPr>
        <w:keepLines w:val="0"/>
        <w:pageBreakBefore w:val="0"/>
        <w:kinsoku/>
        <w:overflowPunct/>
        <w:bidi w:val="0"/>
        <w:spacing w:line="360" w:lineRule="auto"/>
        <w:ind w:firstLine="480" w:firstLineChars="200"/>
        <w:rPr>
          <w:color w:val="auto"/>
          <w:highlight w:val="none"/>
        </w:rPr>
      </w:pPr>
      <w:r>
        <w:rPr>
          <w:rFonts w:hint="eastAsia"/>
          <w:color w:val="auto"/>
          <w:highlight w:val="none"/>
        </w:rPr>
        <w:t>（二）获取招标文件的投标人名单和评标委员会成员名单；</w:t>
      </w:r>
    </w:p>
    <w:p w14:paraId="5A63B3EF">
      <w:pPr>
        <w:keepLines w:val="0"/>
        <w:pageBreakBefore w:val="0"/>
        <w:kinsoku/>
        <w:overflowPunct/>
        <w:bidi w:val="0"/>
        <w:spacing w:line="360" w:lineRule="auto"/>
        <w:ind w:firstLine="480" w:firstLineChars="200"/>
        <w:rPr>
          <w:color w:val="auto"/>
          <w:highlight w:val="none"/>
        </w:rPr>
      </w:pPr>
      <w:r>
        <w:rPr>
          <w:rFonts w:hint="eastAsia"/>
          <w:color w:val="auto"/>
          <w:highlight w:val="none"/>
        </w:rPr>
        <w:t>（三）评标方法和标准；</w:t>
      </w:r>
    </w:p>
    <w:p w14:paraId="00B34E65">
      <w:pPr>
        <w:keepLines w:val="0"/>
        <w:pageBreakBefore w:val="0"/>
        <w:kinsoku/>
        <w:overflowPunct/>
        <w:bidi w:val="0"/>
        <w:spacing w:line="360" w:lineRule="auto"/>
        <w:ind w:firstLine="480" w:firstLineChars="200"/>
        <w:rPr>
          <w:color w:val="auto"/>
          <w:highlight w:val="none"/>
        </w:rPr>
      </w:pPr>
      <w:r>
        <w:rPr>
          <w:rFonts w:hint="eastAsia"/>
          <w:color w:val="auto"/>
          <w:highlight w:val="none"/>
        </w:rPr>
        <w:t>（四）开标记录和评标情况及说明，包括无效投标人名单及原因；</w:t>
      </w:r>
    </w:p>
    <w:p w14:paraId="44C53492">
      <w:pPr>
        <w:keepLines w:val="0"/>
        <w:pageBreakBefore w:val="0"/>
        <w:kinsoku/>
        <w:overflowPunct/>
        <w:bidi w:val="0"/>
        <w:spacing w:line="360" w:lineRule="auto"/>
        <w:ind w:firstLine="480" w:firstLineChars="200"/>
        <w:rPr>
          <w:color w:val="auto"/>
          <w:highlight w:val="none"/>
        </w:rPr>
      </w:pPr>
      <w:r>
        <w:rPr>
          <w:rFonts w:hint="eastAsia"/>
          <w:color w:val="auto"/>
          <w:highlight w:val="none"/>
        </w:rPr>
        <w:t>（五）评标结果和中标候选供应商排序表；</w:t>
      </w:r>
    </w:p>
    <w:p w14:paraId="6221826E">
      <w:pPr>
        <w:keepLines w:val="0"/>
        <w:pageBreakBefore w:val="0"/>
        <w:kinsoku/>
        <w:overflowPunct/>
        <w:bidi w:val="0"/>
        <w:spacing w:line="360" w:lineRule="auto"/>
        <w:ind w:firstLine="480" w:firstLineChars="200"/>
        <w:rPr>
          <w:color w:val="auto"/>
          <w:highlight w:val="none"/>
        </w:rPr>
      </w:pPr>
      <w:r>
        <w:rPr>
          <w:rFonts w:hint="eastAsia"/>
          <w:color w:val="auto"/>
          <w:highlight w:val="none"/>
        </w:rPr>
        <w:t>（六）评标委员会授标建议；</w:t>
      </w:r>
    </w:p>
    <w:p w14:paraId="1B9311A9">
      <w:pPr>
        <w:keepLines w:val="0"/>
        <w:pageBreakBefore w:val="0"/>
        <w:kinsoku/>
        <w:overflowPunct/>
        <w:bidi w:val="0"/>
        <w:spacing w:line="360" w:lineRule="auto"/>
        <w:ind w:firstLine="480" w:firstLineChars="200"/>
        <w:rPr>
          <w:color w:val="auto"/>
          <w:highlight w:val="none"/>
        </w:rPr>
      </w:pPr>
      <w:r>
        <w:rPr>
          <w:rFonts w:hint="eastAsia"/>
          <w:color w:val="auto"/>
          <w:highlight w:val="none"/>
        </w:rPr>
        <w:t>（七）报价最高的投标人为中标候选人的，评标委员会应当对其报价的合理性予以特别说明。</w:t>
      </w:r>
    </w:p>
    <w:p w14:paraId="700AA071">
      <w:pPr>
        <w:keepLines w:val="0"/>
        <w:pageBreakBefore w:val="0"/>
        <w:kinsoku/>
        <w:overflowPunct/>
        <w:bidi w:val="0"/>
        <w:spacing w:line="360" w:lineRule="auto"/>
        <w:ind w:firstLine="480" w:firstLineChars="200"/>
        <w:rPr>
          <w:color w:val="auto"/>
          <w:highlight w:val="none"/>
        </w:rPr>
      </w:pPr>
      <w:r>
        <w:rPr>
          <w:rFonts w:hint="eastAsia"/>
          <w:color w:val="auto"/>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C954BC7">
      <w:pPr>
        <w:keepLines w:val="0"/>
        <w:pageBreakBefore w:val="0"/>
        <w:kinsoku/>
        <w:overflowPunct/>
        <w:bidi w:val="0"/>
        <w:spacing w:line="360" w:lineRule="auto"/>
        <w:ind w:firstLine="480" w:firstLineChars="200"/>
        <w:rPr>
          <w:color w:val="auto"/>
          <w:highlight w:val="none"/>
        </w:rPr>
      </w:pPr>
      <w:r>
        <w:rPr>
          <w:rFonts w:hint="eastAsia"/>
          <w:color w:val="auto"/>
          <w:highlight w:val="none"/>
        </w:rPr>
        <w:t>3.8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BA2EFD9">
      <w:pPr>
        <w:keepLines w:val="0"/>
        <w:pageBreakBefore w:val="0"/>
        <w:kinsoku/>
        <w:overflowPunct/>
        <w:bidi w:val="0"/>
        <w:spacing w:line="360" w:lineRule="auto"/>
        <w:ind w:firstLine="480" w:firstLineChars="200"/>
        <w:rPr>
          <w:color w:val="auto"/>
          <w:highlight w:val="none"/>
        </w:rPr>
      </w:pPr>
      <w:r>
        <w:rPr>
          <w:rFonts w:hint="eastAsia"/>
          <w:color w:val="auto"/>
          <w:highlight w:val="none"/>
        </w:rPr>
        <w:t>3.9供应商应当书面澄清、说明或者补正。</w:t>
      </w:r>
    </w:p>
    <w:p w14:paraId="493E8899">
      <w:pPr>
        <w:keepLines w:val="0"/>
        <w:pageBreakBefore w:val="0"/>
        <w:shd w:val="clear" w:color="auto" w:fill="FFFFFF"/>
        <w:kinsoku/>
        <w:overflowPunct/>
        <w:bidi w:val="0"/>
        <w:spacing w:line="360" w:lineRule="auto"/>
        <w:ind w:firstLine="480" w:firstLineChars="200"/>
        <w:rPr>
          <w:color w:val="auto"/>
          <w:highlight w:val="none"/>
        </w:rPr>
      </w:pPr>
      <w:r>
        <w:rPr>
          <w:rFonts w:hint="eastAsia"/>
          <w:color w:val="auto"/>
          <w:highlight w:val="none"/>
        </w:rPr>
        <w:t>3.9.1在评标过程中，对于投标文件中含义不明确、同类问题表述不一致或者有明显文字和计算错误的内容，评标委员会应当以书面形式要求投标人作出必要的澄清、说明或者补正。</w:t>
      </w:r>
    </w:p>
    <w:p w14:paraId="24B7EE2B">
      <w:pPr>
        <w:keepLines w:val="0"/>
        <w:pageBreakBefore w:val="0"/>
        <w:kinsoku/>
        <w:overflowPunct/>
        <w:bidi w:val="0"/>
        <w:spacing w:line="360" w:lineRule="auto"/>
        <w:ind w:firstLine="480" w:firstLineChars="200"/>
        <w:rPr>
          <w:color w:val="auto"/>
          <w:highlight w:val="none"/>
        </w:rPr>
      </w:pPr>
      <w:r>
        <w:rPr>
          <w:rFonts w:hint="eastAsia"/>
          <w:color w:val="auto"/>
          <w:highlight w:val="none"/>
        </w:rPr>
        <w:t>3.9.2供应商应当书面澄清、说明或者补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补正不影响投标文件的效力，有效的澄清、说明或者补正材料，是投标文件的组成部分。</w:t>
      </w:r>
    </w:p>
    <w:p w14:paraId="1CFC9CE1">
      <w:pPr>
        <w:keepLines w:val="0"/>
        <w:pageBreakBefore w:val="0"/>
        <w:kinsoku/>
        <w:overflowPunct/>
        <w:bidi w:val="0"/>
        <w:spacing w:line="360" w:lineRule="auto"/>
        <w:ind w:firstLine="480" w:firstLineChars="200"/>
        <w:rPr>
          <w:color w:val="auto"/>
          <w:highlight w:val="none"/>
        </w:rPr>
      </w:pPr>
      <w:r>
        <w:rPr>
          <w:rFonts w:hint="eastAsia"/>
          <w:color w:val="auto"/>
          <w:highlight w:val="none"/>
        </w:rPr>
        <w:t>3.9.3评标委员会要求供应商澄清、说明或者补正，不得超出招标文件的范围，不得以此让供应商实质改变投标文件的内容，不得影响供应商公平竞争。本项目下列内容不得澄清：</w:t>
      </w:r>
    </w:p>
    <w:p w14:paraId="0AD3C6B4">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（一）按财政部规定应当在评标时不予承认的投标文件内容事项；</w:t>
      </w:r>
    </w:p>
    <w:p w14:paraId="0973E48A">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（二）投标文件中已经明确的内容事项；</w:t>
      </w:r>
    </w:p>
    <w:p w14:paraId="644623B6">
      <w:pPr>
        <w:keepLines w:val="0"/>
        <w:pageBreakBefore w:val="0"/>
        <w:kinsoku/>
        <w:overflowPunct/>
        <w:bidi w:val="0"/>
        <w:spacing w:line="360" w:lineRule="auto"/>
        <w:ind w:firstLine="480" w:firstLineChars="200"/>
        <w:rPr>
          <w:color w:val="auto"/>
          <w:highlight w:val="none"/>
        </w:rPr>
      </w:pPr>
      <w:r>
        <w:rPr>
          <w:rFonts w:hint="eastAsia"/>
          <w:color w:val="auto"/>
          <w:highlight w:val="none"/>
        </w:rPr>
        <w:t>（三）投标文件未提供的材料。</w:t>
      </w:r>
    </w:p>
    <w:p w14:paraId="16A30066">
      <w:pPr>
        <w:keepLines w:val="0"/>
        <w:pageBreakBefore w:val="0"/>
        <w:kinsoku/>
        <w:overflowPunct/>
        <w:bidi w:val="0"/>
        <w:spacing w:line="360" w:lineRule="auto"/>
        <w:ind w:firstLine="480" w:firstLineChars="200"/>
        <w:rPr>
          <w:color w:val="auto"/>
          <w:highlight w:val="none"/>
        </w:rPr>
      </w:pPr>
      <w:r>
        <w:rPr>
          <w:rFonts w:hint="eastAsia"/>
          <w:color w:val="auto"/>
          <w:highlight w:val="none"/>
        </w:rPr>
        <w:t>3.9.4 本项目采购过程中，投标文件出现下列情况的，不需要供应商澄清、说明或者补正，按照以下原则处理：</w:t>
      </w:r>
    </w:p>
    <w:p w14:paraId="13E37375">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（一）投标文件的大写金额和小写金额不一致的，以大写金额为准，但大写金额出现文字错误，导致金额无法判断的除外；</w:t>
      </w:r>
    </w:p>
    <w:p w14:paraId="531FC917">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（二）总价金额与按单价汇总金额不一致的，以单价汇总金额计算结果为准，但是单价金额出现计算错误、明显人为工作失误的除外；</w:t>
      </w:r>
    </w:p>
    <w:p w14:paraId="04F48356">
      <w:pPr>
        <w:keepLines w:val="0"/>
        <w:pageBreakBefore w:val="0"/>
        <w:kinsoku/>
        <w:overflowPunct/>
        <w:bidi w:val="0"/>
        <w:spacing w:line="360" w:lineRule="auto"/>
        <w:ind w:firstLine="480" w:firstLineChars="200"/>
        <w:rPr>
          <w:color w:val="auto"/>
          <w:highlight w:val="none"/>
        </w:rPr>
      </w:pPr>
      <w:r>
        <w:rPr>
          <w:rFonts w:hint="eastAsia"/>
          <w:color w:val="auto"/>
          <w:highlight w:val="none"/>
        </w:rPr>
        <w:t>（三）单价金额小数点有明显错位的，应以总价为准，并修改单价；</w:t>
      </w:r>
    </w:p>
    <w:p w14:paraId="5E577A7B">
      <w:pPr>
        <w:keepLines w:val="0"/>
        <w:pageBreakBefore w:val="0"/>
        <w:kinsoku/>
        <w:overflowPunct/>
        <w:bidi w:val="0"/>
        <w:spacing w:line="360" w:lineRule="auto"/>
        <w:ind w:firstLine="480" w:firstLineChars="200"/>
        <w:rPr>
          <w:color w:val="auto"/>
          <w:highlight w:val="none"/>
        </w:rPr>
      </w:pPr>
      <w:r>
        <w:rPr>
          <w:rFonts w:hint="eastAsia"/>
          <w:color w:val="auto"/>
          <w:highlight w:val="none"/>
        </w:rPr>
        <w:t>（四）对不同语言文本投标文件的解释发生异议的，以中文文本为准。</w:t>
      </w:r>
    </w:p>
    <w:p w14:paraId="55670902">
      <w:pPr>
        <w:keepLines w:val="0"/>
        <w:pageBreakBefore w:val="0"/>
        <w:kinsoku/>
        <w:overflowPunct/>
        <w:bidi w:val="0"/>
        <w:spacing w:line="360" w:lineRule="auto"/>
        <w:ind w:firstLine="480" w:firstLineChars="200"/>
        <w:rPr>
          <w:color w:val="auto"/>
          <w:highlight w:val="none"/>
        </w:rPr>
      </w:pPr>
      <w:r>
        <w:rPr>
          <w:rFonts w:hint="eastAsia"/>
          <w:color w:val="auto"/>
          <w:highlight w:val="none"/>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14:paraId="76364D45">
      <w:pPr>
        <w:keepLines w:val="0"/>
        <w:pageBreakBefore w:val="0"/>
        <w:kinsoku/>
        <w:overflowPunct/>
        <w:bidi w:val="0"/>
        <w:spacing w:line="360" w:lineRule="auto"/>
        <w:ind w:firstLine="482" w:firstLineChars="200"/>
        <w:rPr>
          <w:b/>
          <w:color w:val="auto"/>
          <w:highlight w:val="none"/>
        </w:rPr>
      </w:pPr>
      <w:r>
        <w:rPr>
          <w:rFonts w:hint="eastAsia"/>
          <w:b/>
          <w:color w:val="auto"/>
          <w:highlight w:val="none"/>
        </w:rPr>
        <w:t>注：评标委员会当积极履行澄清、说明或者补正的职责，不得滥用权力。供应商的投标文件可以要求澄清、说明或者补正的，不得未经澄清、说明或者补正而直接作无效投标处理。</w:t>
      </w:r>
    </w:p>
    <w:p w14:paraId="21284CD0">
      <w:pPr>
        <w:pStyle w:val="101"/>
        <w:keepLines w:val="0"/>
        <w:pageBreakBefore w:val="0"/>
        <w:kinsoku/>
        <w:overflowPunct/>
        <w:bidi w:val="0"/>
        <w:spacing w:line="360" w:lineRule="auto"/>
        <w:ind w:firstLine="480" w:firstLineChars="200"/>
        <w:jc w:val="both"/>
        <w:rPr>
          <w:rFonts w:hint="eastAsia"/>
          <w:color w:val="auto"/>
          <w:highlight w:val="none"/>
          <w:lang w:val="zh-CN" w:eastAsia="zh-CN"/>
        </w:rPr>
      </w:pPr>
      <w:r>
        <w:rPr>
          <w:rFonts w:hint="eastAsia"/>
          <w:color w:val="auto"/>
          <w:highlight w:val="none"/>
        </w:rPr>
        <w:t>3.10</w:t>
      </w:r>
      <w:r>
        <w:rPr>
          <w:rFonts w:hint="eastAsia"/>
          <w:color w:val="auto"/>
          <w:highlight w:val="none"/>
          <w:lang w:val="en-US" w:eastAsia="zh-CN"/>
        </w:rPr>
        <w:t>.</w:t>
      </w:r>
      <w:r>
        <w:rPr>
          <w:rFonts w:hint="eastAsia"/>
          <w:color w:val="auto"/>
          <w:highlight w:val="none"/>
          <w:lang w:val="zh-CN" w:eastAsia="zh-CN"/>
        </w:rPr>
        <w:t>评审过程中，出现下列情形之一的，评审委员会应当启动异常低价投标（响应）审查程序：</w:t>
      </w:r>
    </w:p>
    <w:p w14:paraId="661DB417">
      <w:pPr>
        <w:pStyle w:val="101"/>
        <w:keepLines w:val="0"/>
        <w:pageBreakBefore w:val="0"/>
        <w:kinsoku/>
        <w:overflowPunct/>
        <w:bidi w:val="0"/>
        <w:spacing w:line="360" w:lineRule="auto"/>
        <w:ind w:firstLine="480" w:firstLineChars="200"/>
        <w:jc w:val="both"/>
        <w:rPr>
          <w:rFonts w:hint="eastAsia"/>
          <w:color w:val="auto"/>
          <w:highlight w:val="none"/>
          <w:lang w:val="zh-CN" w:eastAsia="zh-CN"/>
        </w:rPr>
      </w:pPr>
      <w:r>
        <w:rPr>
          <w:rFonts w:hint="eastAsia"/>
          <w:color w:val="auto"/>
          <w:highlight w:val="none"/>
          <w:lang w:val="en-US" w:eastAsia="zh-CN"/>
        </w:rPr>
        <w:t>3.10.</w:t>
      </w:r>
      <w:r>
        <w:rPr>
          <w:rFonts w:hint="eastAsia"/>
          <w:color w:val="auto"/>
          <w:highlight w:val="none"/>
          <w:lang w:val="zh-CN" w:eastAsia="zh-CN"/>
        </w:rPr>
        <w:t>1.投标（响应）报价低于全部通过符合性审查投标人投标（响应）报价平均值</w:t>
      </w:r>
      <w:r>
        <w:rPr>
          <w:rFonts w:hint="eastAsia"/>
          <w:color w:val="auto"/>
          <w:highlight w:val="none"/>
          <w:lang w:val="en-US" w:eastAsia="zh-CN"/>
        </w:rPr>
        <w:t>65</w:t>
      </w:r>
      <w:r>
        <w:rPr>
          <w:rFonts w:hint="eastAsia"/>
          <w:color w:val="auto"/>
          <w:highlight w:val="none"/>
          <w:lang w:val="zh-CN" w:eastAsia="zh-CN"/>
        </w:rPr>
        <w:t>%的，即投标（响应）报价&lt;全部通过符合性审查投标人投标（响应）报价平均值×</w:t>
      </w:r>
      <w:r>
        <w:rPr>
          <w:rFonts w:hint="eastAsia"/>
          <w:color w:val="auto"/>
          <w:highlight w:val="none"/>
          <w:lang w:val="en-US" w:eastAsia="zh-CN"/>
        </w:rPr>
        <w:t>65</w:t>
      </w:r>
      <w:r>
        <w:rPr>
          <w:rFonts w:hint="eastAsia"/>
          <w:color w:val="auto"/>
          <w:highlight w:val="none"/>
          <w:lang w:val="zh-CN" w:eastAsia="zh-CN"/>
        </w:rPr>
        <w:t>%；</w:t>
      </w:r>
    </w:p>
    <w:p w14:paraId="1A1D7906">
      <w:pPr>
        <w:pStyle w:val="101"/>
        <w:keepLines w:val="0"/>
        <w:pageBreakBefore w:val="0"/>
        <w:kinsoku/>
        <w:overflowPunct/>
        <w:bidi w:val="0"/>
        <w:spacing w:line="360" w:lineRule="auto"/>
        <w:ind w:firstLine="480" w:firstLineChars="200"/>
        <w:jc w:val="both"/>
        <w:rPr>
          <w:rFonts w:hint="eastAsia"/>
          <w:color w:val="auto"/>
          <w:highlight w:val="none"/>
          <w:lang w:val="zh-CN" w:eastAsia="zh-CN"/>
        </w:rPr>
      </w:pPr>
      <w:r>
        <w:rPr>
          <w:rFonts w:hint="eastAsia"/>
          <w:color w:val="auto"/>
          <w:highlight w:val="none"/>
          <w:lang w:val="en-US" w:eastAsia="zh-CN"/>
        </w:rPr>
        <w:t>3.10.</w:t>
      </w:r>
      <w:r>
        <w:rPr>
          <w:rFonts w:hint="eastAsia"/>
          <w:color w:val="auto"/>
          <w:highlight w:val="none"/>
          <w:lang w:val="zh-CN" w:eastAsia="zh-CN"/>
        </w:rPr>
        <w:t>2.投标（响应）报价低于通过符合性审查的次低报价投标人投标（响应）报价</w:t>
      </w:r>
      <w:r>
        <w:rPr>
          <w:rFonts w:hint="eastAsia"/>
          <w:color w:val="auto"/>
          <w:highlight w:val="none"/>
          <w:lang w:val="en-US" w:eastAsia="zh-CN"/>
        </w:rPr>
        <w:t>65</w:t>
      </w:r>
      <w:r>
        <w:rPr>
          <w:rFonts w:hint="eastAsia"/>
          <w:color w:val="auto"/>
          <w:highlight w:val="none"/>
          <w:lang w:val="zh-CN" w:eastAsia="zh-CN"/>
        </w:rPr>
        <w:t>%的，即投标（响应）报价&lt;通过符合性审查的次低报价投标人投标（响应）报价×50%；</w:t>
      </w:r>
    </w:p>
    <w:p w14:paraId="5E45C7EF">
      <w:pPr>
        <w:pStyle w:val="101"/>
        <w:keepLines w:val="0"/>
        <w:pageBreakBefore w:val="0"/>
        <w:kinsoku/>
        <w:overflowPunct/>
        <w:bidi w:val="0"/>
        <w:spacing w:line="360" w:lineRule="auto"/>
        <w:ind w:firstLine="480" w:firstLineChars="200"/>
        <w:jc w:val="both"/>
        <w:rPr>
          <w:rFonts w:hint="eastAsia"/>
          <w:color w:val="auto"/>
          <w:highlight w:val="none"/>
          <w:lang w:val="zh-CN" w:eastAsia="zh-CN"/>
        </w:rPr>
      </w:pPr>
      <w:r>
        <w:rPr>
          <w:rFonts w:hint="eastAsia"/>
          <w:color w:val="auto"/>
          <w:highlight w:val="none"/>
          <w:lang w:val="zh-CN" w:eastAsia="zh-CN"/>
        </w:rPr>
        <w:t>3.</w:t>
      </w:r>
      <w:r>
        <w:rPr>
          <w:rFonts w:hint="eastAsia"/>
          <w:color w:val="auto"/>
          <w:highlight w:val="none"/>
          <w:lang w:val="en-US" w:eastAsia="zh-CN"/>
        </w:rPr>
        <w:t>10.3</w:t>
      </w:r>
      <w:r>
        <w:rPr>
          <w:rFonts w:hint="eastAsia"/>
          <w:color w:val="auto"/>
          <w:highlight w:val="none"/>
          <w:lang w:val="zh-CN" w:eastAsia="zh-CN"/>
        </w:rPr>
        <w:t>投标（响应）报价低于采购项目最高限价</w:t>
      </w:r>
      <w:r>
        <w:rPr>
          <w:rFonts w:hint="eastAsia"/>
          <w:color w:val="auto"/>
          <w:highlight w:val="none"/>
          <w:lang w:val="en-US" w:eastAsia="zh-CN"/>
        </w:rPr>
        <w:t>65</w:t>
      </w:r>
      <w:r>
        <w:rPr>
          <w:rFonts w:hint="eastAsia"/>
          <w:color w:val="auto"/>
          <w:highlight w:val="none"/>
          <w:lang w:val="zh-CN" w:eastAsia="zh-CN"/>
        </w:rPr>
        <w:t>%的，即投标（响应）报价&lt;采购项目最高限价×</w:t>
      </w:r>
      <w:r>
        <w:rPr>
          <w:rFonts w:hint="eastAsia"/>
          <w:color w:val="auto"/>
          <w:highlight w:val="none"/>
          <w:lang w:val="en-US" w:eastAsia="zh-CN"/>
        </w:rPr>
        <w:t>65</w:t>
      </w:r>
      <w:r>
        <w:rPr>
          <w:rFonts w:hint="eastAsia"/>
          <w:color w:val="auto"/>
          <w:highlight w:val="none"/>
          <w:lang w:val="zh-CN" w:eastAsia="zh-CN"/>
        </w:rPr>
        <w:t>%；</w:t>
      </w:r>
    </w:p>
    <w:p w14:paraId="047A2177">
      <w:pPr>
        <w:pStyle w:val="101"/>
        <w:keepLines w:val="0"/>
        <w:pageBreakBefore w:val="0"/>
        <w:kinsoku/>
        <w:overflowPunct/>
        <w:bidi w:val="0"/>
        <w:spacing w:line="360" w:lineRule="auto"/>
        <w:ind w:firstLine="480" w:firstLineChars="200"/>
        <w:jc w:val="both"/>
        <w:rPr>
          <w:rFonts w:hint="eastAsia"/>
          <w:color w:val="auto"/>
          <w:highlight w:val="none"/>
          <w:lang w:val="zh-CN" w:eastAsia="zh-CN"/>
        </w:rPr>
      </w:pPr>
      <w:r>
        <w:rPr>
          <w:rFonts w:hint="eastAsia"/>
          <w:color w:val="auto"/>
          <w:highlight w:val="none"/>
          <w:lang w:val="en-US" w:eastAsia="zh-CN"/>
        </w:rPr>
        <w:t>3.10.</w:t>
      </w:r>
      <w:r>
        <w:rPr>
          <w:rFonts w:hint="eastAsia"/>
          <w:color w:val="auto"/>
          <w:highlight w:val="none"/>
          <w:lang w:val="zh-CN" w:eastAsia="zh-CN"/>
        </w:rPr>
        <w:t>4.评审委员会基于专业判断，认为投标人报价过低，有可能影响产品质量或者不能诚信履约的其他情形。</w:t>
      </w:r>
    </w:p>
    <w:p w14:paraId="282D3065">
      <w:pPr>
        <w:pStyle w:val="101"/>
        <w:keepLines w:val="0"/>
        <w:pageBreakBefore w:val="0"/>
        <w:kinsoku/>
        <w:overflowPunct/>
        <w:bidi w:val="0"/>
        <w:spacing w:line="360" w:lineRule="auto"/>
        <w:ind w:firstLine="480" w:firstLineChars="200"/>
        <w:jc w:val="both"/>
        <w:rPr>
          <w:rFonts w:hint="eastAsia"/>
          <w:color w:val="auto"/>
          <w:highlight w:val="none"/>
          <w:lang w:val="en-US" w:eastAsia="zh-CN"/>
        </w:rPr>
      </w:pPr>
      <w:r>
        <w:rPr>
          <w:rFonts w:hint="eastAsia"/>
          <w:color w:val="auto"/>
          <w:highlight w:val="none"/>
        </w:rPr>
        <w:t>相关法律法规对</w:t>
      </w:r>
      <w:r>
        <w:rPr>
          <w:rFonts w:hint="eastAsia"/>
          <w:color w:val="auto"/>
          <w:highlight w:val="none"/>
          <w:lang w:eastAsia="zh-CN"/>
        </w:rPr>
        <w:t>投标人</w:t>
      </w:r>
      <w:r>
        <w:rPr>
          <w:rFonts w:hint="eastAsia"/>
          <w:color w:val="auto"/>
          <w:highlight w:val="none"/>
        </w:rPr>
        <w:t>报价有规定的，从其规定。</w:t>
      </w:r>
    </w:p>
    <w:p w14:paraId="7F8D974F">
      <w:pPr>
        <w:pStyle w:val="101"/>
        <w:keepLines w:val="0"/>
        <w:pageBreakBefore w:val="0"/>
        <w:kinsoku/>
        <w:overflowPunct/>
        <w:bidi w:val="0"/>
        <w:spacing w:line="360" w:lineRule="auto"/>
        <w:ind w:firstLine="480" w:firstLineChars="200"/>
        <w:jc w:val="both"/>
        <w:rPr>
          <w:rFonts w:hint="eastAsia"/>
          <w:color w:val="auto"/>
          <w:highlight w:val="none"/>
          <w:lang w:val="en-US" w:eastAsia="zh-CN"/>
        </w:rPr>
      </w:pPr>
      <w:r>
        <w:rPr>
          <w:rFonts w:hint="eastAsia"/>
          <w:color w:val="auto"/>
          <w:highlight w:val="none"/>
          <w:lang w:val="en-US" w:eastAsia="zh-CN"/>
        </w:rPr>
        <w:t>二、评审委员会启动异常低价投标（响应）审查后，属于前述第1项至第4项情形的，应当要求相关投标人在评审现场合理的时间内对投标（响应）价格作出解释，提供项目具体成本测算等与报价合理性相关的书面说明及必要的证明材料，包括但不限于原材料成本、人工成本、制造费用等，给予相关投标人的合理时间一般不少于30分钟。其中，属于第3项情形，投标人已随投标（响应）文件一并提交相关书面说明及必要的证明材料的，在评审现场可不再重复提交。</w:t>
      </w:r>
    </w:p>
    <w:p w14:paraId="5BCC2925">
      <w:pPr>
        <w:pStyle w:val="101"/>
        <w:keepLines w:val="0"/>
        <w:pageBreakBefore w:val="0"/>
        <w:kinsoku/>
        <w:overflowPunct/>
        <w:bidi w:val="0"/>
        <w:spacing w:line="360" w:lineRule="auto"/>
        <w:ind w:firstLine="480" w:firstLineChars="200"/>
        <w:jc w:val="both"/>
        <w:rPr>
          <w:rFonts w:hint="eastAsia"/>
          <w:color w:val="auto"/>
          <w:highlight w:val="none"/>
          <w:lang w:val="zh-CN" w:eastAsia="zh-CN"/>
        </w:rPr>
      </w:pPr>
      <w:r>
        <w:rPr>
          <w:rFonts w:hint="eastAsia"/>
          <w:color w:val="auto"/>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投标人不能提供书面说明、证明材料，或者提供的书面说明、证明材料不能证明其报价合理性的，评审委员会应当将其作为无效投标（响应）处理。</w:t>
      </w:r>
    </w:p>
    <w:p w14:paraId="0F293EBF">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lang w:val="zh-CN" w:eastAsia="zh-CN"/>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14:paraId="5ED497EE">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59FDADD1">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响应文件作为无效处理。</w:t>
      </w:r>
    </w:p>
    <w:p w14:paraId="581AD039">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3.11 招标采购单位现场复核评标结果。</w:t>
      </w:r>
    </w:p>
    <w:p w14:paraId="335E638F">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3.11.1评标结果汇总完成后，评标委员会拟出具评标报告前，招标采购单位应当组织2名以上的本单位工作人员，在采购现场监督人员的监督之下，依据有关的法律制度和采购文件对评标结果进行复核，出具复核报告。存在下列情形之一的，招标采购单位应当根据情况书面建议评标委员会现场修改评标结果：</w:t>
      </w:r>
    </w:p>
    <w:p w14:paraId="1537A3C7">
      <w:pPr>
        <w:pStyle w:val="101"/>
        <w:keepLines w:val="0"/>
        <w:pageBreakBefore w:val="0"/>
        <w:kinsoku/>
        <w:overflowPunct/>
        <w:bidi w:val="0"/>
        <w:spacing w:line="360" w:lineRule="auto"/>
        <w:ind w:firstLine="480" w:firstLineChars="200"/>
        <w:rPr>
          <w:color w:val="auto"/>
          <w:highlight w:val="none"/>
        </w:rPr>
      </w:pPr>
      <w:r>
        <w:rPr>
          <w:rFonts w:hint="eastAsia"/>
          <w:color w:val="auto"/>
          <w:highlight w:val="none"/>
        </w:rPr>
        <w:t>（一）分值汇总计算错误的；</w:t>
      </w:r>
    </w:p>
    <w:p w14:paraId="12968C88">
      <w:pPr>
        <w:pStyle w:val="101"/>
        <w:keepLines w:val="0"/>
        <w:pageBreakBefore w:val="0"/>
        <w:kinsoku/>
        <w:overflowPunct/>
        <w:bidi w:val="0"/>
        <w:spacing w:line="360" w:lineRule="auto"/>
        <w:ind w:firstLine="480" w:firstLineChars="200"/>
        <w:rPr>
          <w:color w:val="auto"/>
          <w:highlight w:val="none"/>
        </w:rPr>
      </w:pPr>
      <w:r>
        <w:rPr>
          <w:rFonts w:hint="eastAsia"/>
          <w:color w:val="auto"/>
          <w:highlight w:val="none"/>
        </w:rPr>
        <w:t>（二）分项评分超出评分标准范围的；</w:t>
      </w:r>
    </w:p>
    <w:p w14:paraId="2374701C">
      <w:pPr>
        <w:pStyle w:val="101"/>
        <w:keepLines w:val="0"/>
        <w:pageBreakBefore w:val="0"/>
        <w:kinsoku/>
        <w:overflowPunct/>
        <w:bidi w:val="0"/>
        <w:spacing w:line="360" w:lineRule="auto"/>
        <w:ind w:firstLine="480" w:firstLineChars="200"/>
        <w:rPr>
          <w:color w:val="auto"/>
          <w:highlight w:val="none"/>
        </w:rPr>
      </w:pPr>
      <w:r>
        <w:rPr>
          <w:rFonts w:hint="eastAsia"/>
          <w:color w:val="auto"/>
          <w:highlight w:val="none"/>
        </w:rPr>
        <w:t>（三）评标委员会成员对客观评审因素评分不一致的；</w:t>
      </w:r>
    </w:p>
    <w:p w14:paraId="77423908">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（四）经评标委员会认定评分畸高、畸低的。</w:t>
      </w:r>
    </w:p>
    <w:p w14:paraId="6203A481">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存在本条上述规定情形的，由评标委员会自主决定是否采纳招标采购单位的书面建议，并承担独立评审责任。评标委员会采纳招标采购单位书面建议的，应当按照规定现场修改评标结果，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评标报告签署后，采购人或者采购代理机构发现存在以上情形之一的，应当组织原评标委员会进行重新评审，重新评审改变评标结果的，书面报告本级财政部门。</w:t>
      </w:r>
    </w:p>
    <w:p w14:paraId="63BF7ED4">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3.11.2有下列情形之一的，不得修改评标结果或者重新评标：</w:t>
      </w:r>
    </w:p>
    <w:p w14:paraId="3D185BC9">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（一）评标委员会已经出具评标报告并且离开评标现场的；</w:t>
      </w:r>
    </w:p>
    <w:p w14:paraId="3B8888E0">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（二）招标采购单位现场复核时，复核工作人员数量不足的；</w:t>
      </w:r>
    </w:p>
    <w:p w14:paraId="1A220476">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（三）招标采购单位现场复核时，没有采购监督人员现场监督的；</w:t>
      </w:r>
    </w:p>
    <w:p w14:paraId="3BB045E8">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（四）招标采购单位现场复核内容超出规定范围的；</w:t>
      </w:r>
    </w:p>
    <w:p w14:paraId="7C77F9AB">
      <w:pPr>
        <w:pStyle w:val="101"/>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（五）招标采购单位未提供书面建议的。</w:t>
      </w:r>
    </w:p>
    <w:p w14:paraId="4473227A">
      <w:pPr>
        <w:rPr>
          <w:rFonts w:hint="eastAsia"/>
          <w:color w:val="auto"/>
          <w:highlight w:val="none"/>
        </w:rPr>
      </w:pPr>
      <w:r>
        <w:rPr>
          <w:rFonts w:hint="eastAsia"/>
          <w:color w:val="auto"/>
          <w:highlight w:val="none"/>
        </w:rPr>
        <w:br w:type="page"/>
      </w:r>
    </w:p>
    <w:p w14:paraId="27C7046A">
      <w:pPr>
        <w:pStyle w:val="4"/>
        <w:keepLines w:val="0"/>
        <w:pageBreakBefore w:val="0"/>
        <w:kinsoku/>
        <w:overflowPunct/>
        <w:bidi w:val="0"/>
        <w:spacing w:before="0" w:after="0" w:line="360" w:lineRule="auto"/>
        <w:ind w:firstLine="482"/>
        <w:rPr>
          <w:rFonts w:hint="eastAsia"/>
          <w:color w:val="auto"/>
          <w:highlight w:val="none"/>
        </w:rPr>
      </w:pPr>
      <w:r>
        <w:rPr>
          <w:rFonts w:hint="eastAsia"/>
          <w:color w:val="auto"/>
          <w:highlight w:val="none"/>
        </w:rPr>
        <w:t>4. 评标细则及标准</w:t>
      </w:r>
      <w:bookmarkEnd w:id="183"/>
    </w:p>
    <w:p w14:paraId="1822B18D">
      <w:pPr>
        <w:keepLines w:val="0"/>
        <w:pageBreakBefore w:val="0"/>
        <w:kinsoku/>
        <w:overflowPunct/>
        <w:bidi w:val="0"/>
        <w:spacing w:line="360" w:lineRule="auto"/>
        <w:ind w:firstLine="480" w:firstLineChars="200"/>
        <w:rPr>
          <w:rFonts w:hint="eastAsia"/>
          <w:color w:val="auto"/>
          <w:highlight w:val="none"/>
        </w:rPr>
      </w:pPr>
      <w:r>
        <w:rPr>
          <w:rFonts w:hint="eastAsia"/>
          <w:color w:val="auto"/>
          <w:highlight w:val="none"/>
        </w:rPr>
        <w:t>4.1 评标委员会成员应当根据自身专业情况对每个有效投标供应商的投标文件进行独立评分，加权汇总每项评分因素的得分，得出每个有效投标供应商的总分。采购人代表原则上对技术类评分因素独立评分。其他不能明确区分的评分因素由评标委员会成员共同评分。</w:t>
      </w:r>
    </w:p>
    <w:p w14:paraId="002223ED">
      <w:pPr>
        <w:keepLines w:val="0"/>
        <w:pageBreakBefore w:val="0"/>
        <w:kinsoku/>
        <w:overflowPunct/>
        <w:bidi w:val="0"/>
        <w:spacing w:line="360" w:lineRule="auto"/>
        <w:ind w:firstLine="480" w:firstLineChars="200"/>
        <w:rPr>
          <w:rFonts w:hint="eastAsia"/>
          <w:color w:val="auto"/>
          <w:highlight w:val="none"/>
        </w:rPr>
      </w:pPr>
      <w:r>
        <w:rPr>
          <w:rFonts w:hint="eastAsia"/>
          <w:color w:val="auto"/>
          <w:highlight w:val="none"/>
        </w:rPr>
        <w:t>4.2综合评分明细表：</w:t>
      </w:r>
    </w:p>
    <w:tbl>
      <w:tblPr>
        <w:tblStyle w:val="48"/>
        <w:tblW w:w="9634" w:type="dxa"/>
        <w:jc w:val="center"/>
        <w:tblLayout w:type="fixed"/>
        <w:tblCellMar>
          <w:top w:w="0" w:type="dxa"/>
          <w:left w:w="108" w:type="dxa"/>
          <w:bottom w:w="0" w:type="dxa"/>
          <w:right w:w="108" w:type="dxa"/>
        </w:tblCellMar>
      </w:tblPr>
      <w:tblGrid>
        <w:gridCol w:w="793"/>
        <w:gridCol w:w="1035"/>
        <w:gridCol w:w="861"/>
        <w:gridCol w:w="6945"/>
      </w:tblGrid>
      <w:tr w14:paraId="2BADDE46">
        <w:tblPrEx>
          <w:tblCellMar>
            <w:top w:w="0" w:type="dxa"/>
            <w:left w:w="108" w:type="dxa"/>
            <w:bottom w:w="0" w:type="dxa"/>
            <w:right w:w="108" w:type="dxa"/>
          </w:tblCellMar>
        </w:tblPrEx>
        <w:trPr>
          <w:trHeight w:val="402" w:hRule="atLeast"/>
          <w:jc w:val="center"/>
        </w:trPr>
        <w:tc>
          <w:tcPr>
            <w:tcW w:w="793" w:type="dxa"/>
            <w:tcBorders>
              <w:top w:val="single" w:color="000000" w:sz="4" w:space="0"/>
              <w:left w:val="single" w:color="000000" w:sz="4" w:space="0"/>
              <w:bottom w:val="single" w:color="000000" w:sz="4" w:space="0"/>
              <w:right w:val="single" w:color="000000" w:sz="4" w:space="0"/>
            </w:tcBorders>
            <w:noWrap w:val="0"/>
            <w:vAlign w:val="center"/>
          </w:tcPr>
          <w:p w14:paraId="6CAD7ED0">
            <w:pPr>
              <w:spacing w:line="440" w:lineRule="exact"/>
              <w:jc w:val="left"/>
              <w:rPr>
                <w:rFonts w:hint="eastAsia" w:ascii="宋体" w:hAnsi="宋体" w:eastAsia="宋体" w:cs="宋体"/>
                <w:snapToGrid/>
                <w:sz w:val="24"/>
                <w:szCs w:val="24"/>
              </w:rPr>
            </w:pPr>
            <w:bookmarkStart w:id="184" w:name="_Toc217446060"/>
            <w:r>
              <w:rPr>
                <w:rFonts w:hint="eastAsia" w:ascii="宋体" w:hAnsi="宋体" w:eastAsia="宋体" w:cs="宋体"/>
                <w:snapToGrid/>
                <w:sz w:val="24"/>
                <w:szCs w:val="24"/>
              </w:rPr>
              <w:t>序号</w:t>
            </w:r>
          </w:p>
        </w:tc>
        <w:tc>
          <w:tcPr>
            <w:tcW w:w="1035" w:type="dxa"/>
            <w:tcBorders>
              <w:top w:val="single" w:color="000000" w:sz="4" w:space="0"/>
              <w:left w:val="nil"/>
              <w:bottom w:val="single" w:color="000000" w:sz="4" w:space="0"/>
              <w:right w:val="single" w:color="000000" w:sz="4" w:space="0"/>
            </w:tcBorders>
            <w:noWrap w:val="0"/>
            <w:vAlign w:val="center"/>
          </w:tcPr>
          <w:p w14:paraId="4FDA5E0D">
            <w:pPr>
              <w:spacing w:line="360" w:lineRule="auto"/>
              <w:jc w:val="left"/>
              <w:rPr>
                <w:rFonts w:hint="eastAsia" w:ascii="宋体" w:hAnsi="宋体" w:eastAsia="宋体" w:cs="宋体"/>
                <w:snapToGrid/>
                <w:sz w:val="24"/>
                <w:szCs w:val="24"/>
              </w:rPr>
            </w:pPr>
            <w:r>
              <w:rPr>
                <w:rFonts w:hint="eastAsia" w:ascii="宋体" w:hAnsi="宋体" w:eastAsia="宋体" w:cs="宋体"/>
                <w:snapToGrid/>
                <w:sz w:val="24"/>
                <w:szCs w:val="24"/>
              </w:rPr>
              <w:t>评审因素及权重</w:t>
            </w:r>
          </w:p>
        </w:tc>
        <w:tc>
          <w:tcPr>
            <w:tcW w:w="861" w:type="dxa"/>
            <w:tcBorders>
              <w:top w:val="single" w:color="000000" w:sz="4" w:space="0"/>
              <w:left w:val="nil"/>
              <w:bottom w:val="single" w:color="000000" w:sz="4" w:space="0"/>
              <w:right w:val="single" w:color="000000" w:sz="4" w:space="0"/>
            </w:tcBorders>
            <w:noWrap w:val="0"/>
            <w:vAlign w:val="center"/>
          </w:tcPr>
          <w:p w14:paraId="5C5F7D76">
            <w:pPr>
              <w:spacing w:line="360" w:lineRule="auto"/>
              <w:jc w:val="left"/>
              <w:rPr>
                <w:rFonts w:hint="eastAsia" w:ascii="宋体" w:hAnsi="宋体" w:eastAsia="宋体" w:cs="宋体"/>
                <w:snapToGrid/>
                <w:sz w:val="24"/>
                <w:szCs w:val="24"/>
              </w:rPr>
            </w:pPr>
            <w:r>
              <w:rPr>
                <w:rFonts w:hint="eastAsia" w:ascii="宋体" w:hAnsi="宋体" w:eastAsia="宋体" w:cs="宋体"/>
                <w:snapToGrid/>
                <w:sz w:val="24"/>
                <w:szCs w:val="24"/>
              </w:rPr>
              <w:t>分值</w:t>
            </w:r>
          </w:p>
        </w:tc>
        <w:tc>
          <w:tcPr>
            <w:tcW w:w="6945" w:type="dxa"/>
            <w:tcBorders>
              <w:top w:val="single" w:color="000000" w:sz="4" w:space="0"/>
              <w:left w:val="nil"/>
              <w:bottom w:val="single" w:color="000000" w:sz="4" w:space="0"/>
              <w:right w:val="single" w:color="000000" w:sz="4" w:space="0"/>
            </w:tcBorders>
            <w:noWrap w:val="0"/>
            <w:vAlign w:val="center"/>
          </w:tcPr>
          <w:p w14:paraId="70112DD7">
            <w:pPr>
              <w:spacing w:line="360" w:lineRule="auto"/>
              <w:jc w:val="center"/>
              <w:rPr>
                <w:rFonts w:hint="eastAsia" w:ascii="宋体" w:hAnsi="宋体" w:eastAsia="宋体" w:cs="宋体"/>
                <w:snapToGrid/>
                <w:sz w:val="24"/>
                <w:szCs w:val="24"/>
              </w:rPr>
            </w:pPr>
            <w:r>
              <w:rPr>
                <w:rFonts w:hint="eastAsia" w:ascii="宋体" w:hAnsi="宋体" w:eastAsia="宋体" w:cs="宋体"/>
                <w:snapToGrid/>
                <w:sz w:val="24"/>
                <w:szCs w:val="24"/>
              </w:rPr>
              <w:t>评审标准依据</w:t>
            </w:r>
          </w:p>
        </w:tc>
      </w:tr>
      <w:tr w14:paraId="07E65320">
        <w:tblPrEx>
          <w:tblCellMar>
            <w:top w:w="0" w:type="dxa"/>
            <w:left w:w="108" w:type="dxa"/>
            <w:bottom w:w="0" w:type="dxa"/>
            <w:right w:w="108" w:type="dxa"/>
          </w:tblCellMar>
        </w:tblPrEx>
        <w:trPr>
          <w:trHeight w:val="544" w:hRule="atLeast"/>
          <w:jc w:val="center"/>
        </w:trPr>
        <w:tc>
          <w:tcPr>
            <w:tcW w:w="793" w:type="dxa"/>
            <w:tcBorders>
              <w:top w:val="single" w:color="000000" w:sz="4" w:space="0"/>
              <w:left w:val="single" w:color="000000" w:sz="4" w:space="0"/>
              <w:bottom w:val="single" w:color="000000" w:sz="4" w:space="0"/>
              <w:right w:val="single" w:color="000000" w:sz="4" w:space="0"/>
            </w:tcBorders>
            <w:noWrap w:val="0"/>
            <w:vAlign w:val="center"/>
          </w:tcPr>
          <w:p w14:paraId="6EE79D81">
            <w:pPr>
              <w:spacing w:line="440" w:lineRule="exact"/>
              <w:jc w:val="center"/>
              <w:rPr>
                <w:rFonts w:hint="eastAsia" w:ascii="宋体" w:hAnsi="宋体" w:eastAsia="宋体" w:cs="宋体"/>
                <w:snapToGrid/>
                <w:sz w:val="24"/>
                <w:szCs w:val="24"/>
              </w:rPr>
            </w:pPr>
            <w:r>
              <w:rPr>
                <w:rFonts w:hint="eastAsia" w:ascii="宋体" w:hAnsi="宋体" w:eastAsia="宋体" w:cs="宋体"/>
                <w:snapToGrid/>
                <w:sz w:val="24"/>
                <w:szCs w:val="24"/>
              </w:rPr>
              <w:t>1</w:t>
            </w:r>
          </w:p>
        </w:tc>
        <w:tc>
          <w:tcPr>
            <w:tcW w:w="1035" w:type="dxa"/>
            <w:tcBorders>
              <w:top w:val="single" w:color="000000" w:sz="4" w:space="0"/>
              <w:left w:val="nil"/>
              <w:bottom w:val="single" w:color="000000" w:sz="4" w:space="0"/>
              <w:right w:val="single" w:color="000000" w:sz="4" w:space="0"/>
            </w:tcBorders>
            <w:noWrap w:val="0"/>
            <w:vAlign w:val="center"/>
          </w:tcPr>
          <w:p w14:paraId="59861C72">
            <w:pPr>
              <w:spacing w:line="440" w:lineRule="exact"/>
              <w:jc w:val="left"/>
              <w:rPr>
                <w:rFonts w:hint="eastAsia" w:ascii="宋体" w:hAnsi="宋体" w:eastAsia="宋体" w:cs="宋体"/>
                <w:snapToGrid/>
                <w:sz w:val="24"/>
                <w:szCs w:val="24"/>
              </w:rPr>
            </w:pPr>
            <w:r>
              <w:rPr>
                <w:rFonts w:hint="eastAsia" w:ascii="宋体" w:hAnsi="宋体" w:eastAsia="宋体" w:cs="宋体"/>
                <w:snapToGrid/>
                <w:sz w:val="24"/>
                <w:szCs w:val="24"/>
              </w:rPr>
              <w:t>报价30%</w:t>
            </w:r>
          </w:p>
        </w:tc>
        <w:tc>
          <w:tcPr>
            <w:tcW w:w="861" w:type="dxa"/>
            <w:tcBorders>
              <w:top w:val="single" w:color="000000" w:sz="4" w:space="0"/>
              <w:left w:val="nil"/>
              <w:bottom w:val="single" w:color="000000" w:sz="4" w:space="0"/>
              <w:right w:val="single" w:color="000000" w:sz="4" w:space="0"/>
            </w:tcBorders>
            <w:noWrap w:val="0"/>
            <w:vAlign w:val="center"/>
          </w:tcPr>
          <w:p w14:paraId="4372BCD7">
            <w:pPr>
              <w:spacing w:line="440" w:lineRule="exact"/>
              <w:jc w:val="center"/>
              <w:rPr>
                <w:rFonts w:hint="eastAsia" w:ascii="宋体" w:hAnsi="宋体" w:eastAsia="宋体" w:cs="宋体"/>
                <w:snapToGrid/>
                <w:sz w:val="24"/>
                <w:szCs w:val="24"/>
              </w:rPr>
            </w:pPr>
            <w:r>
              <w:rPr>
                <w:rFonts w:hint="eastAsia" w:ascii="宋体" w:hAnsi="宋体" w:eastAsia="宋体" w:cs="宋体"/>
                <w:snapToGrid/>
                <w:sz w:val="24"/>
                <w:szCs w:val="24"/>
              </w:rPr>
              <w:t>30</w:t>
            </w:r>
            <w:r>
              <w:rPr>
                <w:rFonts w:hint="eastAsia" w:ascii="宋体" w:hAnsi="宋体" w:eastAsia="宋体" w:cs="宋体"/>
                <w:sz w:val="24"/>
                <w:szCs w:val="24"/>
              </w:rPr>
              <w:t>分</w:t>
            </w:r>
          </w:p>
        </w:tc>
        <w:tc>
          <w:tcPr>
            <w:tcW w:w="6945" w:type="dxa"/>
            <w:tcBorders>
              <w:top w:val="single" w:color="000000" w:sz="4" w:space="0"/>
              <w:left w:val="nil"/>
              <w:bottom w:val="single" w:color="000000" w:sz="4" w:space="0"/>
              <w:right w:val="single" w:color="000000" w:sz="4" w:space="0"/>
            </w:tcBorders>
            <w:noWrap w:val="0"/>
            <w:vAlign w:val="center"/>
          </w:tcPr>
          <w:p w14:paraId="41565AA7">
            <w:pPr>
              <w:wordWrap w:val="0"/>
              <w:spacing w:line="0" w:lineRule="atLeast"/>
              <w:jc w:val="left"/>
              <w:rPr>
                <w:rFonts w:hint="eastAsia" w:ascii="宋体" w:hAnsi="宋体" w:eastAsia="宋体" w:cs="宋体"/>
                <w:snapToGrid/>
                <w:sz w:val="24"/>
                <w:szCs w:val="24"/>
              </w:rPr>
            </w:pPr>
            <w:r>
              <w:rPr>
                <w:rFonts w:hint="eastAsia" w:ascii="宋体" w:hAnsi="宋体" w:eastAsia="宋体" w:cs="宋体"/>
                <w:snapToGrid/>
                <w:sz w:val="24"/>
                <w:szCs w:val="24"/>
              </w:rPr>
              <w:t>以本次有效的最低比选报价为基准价，比选报价得分=（比选基准价/比选报价）×30</w:t>
            </w:r>
          </w:p>
          <w:p w14:paraId="6C9B985E">
            <w:pPr>
              <w:wordWrap w:val="0"/>
              <w:spacing w:line="0" w:lineRule="atLeast"/>
              <w:jc w:val="left"/>
              <w:rPr>
                <w:rFonts w:hint="eastAsia" w:ascii="宋体" w:hAnsi="宋体" w:eastAsia="宋体" w:cs="宋体"/>
                <w:snapToGrid/>
                <w:sz w:val="24"/>
                <w:szCs w:val="24"/>
              </w:rPr>
            </w:pPr>
            <w:r>
              <w:rPr>
                <w:rFonts w:hint="eastAsia" w:ascii="宋体" w:hAnsi="宋体" w:eastAsia="宋体" w:cs="宋体"/>
                <w:snapToGrid/>
                <w:sz w:val="24"/>
                <w:szCs w:val="24"/>
              </w:rPr>
              <w:t>注：1.根据《政府采购促进中小企业发展管理办法》（财库﹝2020﹞46号），</w:t>
            </w:r>
            <w:r>
              <w:rPr>
                <w:rFonts w:hint="eastAsia" w:ascii="宋体" w:hAnsi="宋体" w:eastAsia="宋体" w:cs="宋体"/>
                <w:snapToGrid/>
                <w:sz w:val="24"/>
                <w:szCs w:val="24"/>
                <w:lang w:val="en-US" w:eastAsia="zh-CN"/>
              </w:rPr>
              <w:t>本项目专门面向中小企业采购，不进行价格扣除</w:t>
            </w:r>
            <w:r>
              <w:rPr>
                <w:rFonts w:hint="eastAsia" w:ascii="宋体" w:hAnsi="宋体" w:eastAsia="宋体" w:cs="宋体"/>
                <w:snapToGrid/>
                <w:sz w:val="24"/>
                <w:szCs w:val="24"/>
              </w:rPr>
              <w:t>；</w:t>
            </w:r>
          </w:p>
          <w:p w14:paraId="3F2F30EA">
            <w:pPr>
              <w:wordWrap w:val="0"/>
              <w:spacing w:line="0" w:lineRule="atLeast"/>
              <w:jc w:val="left"/>
              <w:rPr>
                <w:rFonts w:hint="eastAsia" w:ascii="宋体" w:hAnsi="宋体" w:eastAsia="宋体" w:cs="宋体"/>
                <w:snapToGrid/>
                <w:sz w:val="24"/>
                <w:szCs w:val="24"/>
              </w:rPr>
            </w:pPr>
            <w:r>
              <w:rPr>
                <w:rFonts w:hint="eastAsia" w:ascii="宋体" w:hAnsi="宋体" w:eastAsia="宋体" w:cs="宋体"/>
                <w:snapToGrid/>
                <w:sz w:val="24"/>
                <w:szCs w:val="24"/>
              </w:rPr>
              <w:t>2.评分的取值按四舍五入法，保留小数点后两位。</w:t>
            </w:r>
          </w:p>
        </w:tc>
      </w:tr>
      <w:tr w14:paraId="092F78F7">
        <w:tblPrEx>
          <w:tblCellMar>
            <w:top w:w="0" w:type="dxa"/>
            <w:left w:w="108" w:type="dxa"/>
            <w:bottom w:w="0" w:type="dxa"/>
            <w:right w:w="108" w:type="dxa"/>
          </w:tblCellMar>
        </w:tblPrEx>
        <w:trPr>
          <w:trHeight w:val="914" w:hRule="atLeast"/>
          <w:jc w:val="center"/>
        </w:trPr>
        <w:tc>
          <w:tcPr>
            <w:tcW w:w="793" w:type="dxa"/>
            <w:tcBorders>
              <w:top w:val="single" w:color="000000" w:sz="4" w:space="0"/>
              <w:left w:val="single" w:color="000000" w:sz="4" w:space="0"/>
              <w:bottom w:val="single" w:color="000000" w:sz="4" w:space="0"/>
              <w:right w:val="single" w:color="000000" w:sz="4" w:space="0"/>
            </w:tcBorders>
            <w:noWrap w:val="0"/>
            <w:vAlign w:val="center"/>
          </w:tcPr>
          <w:p w14:paraId="75AC4595">
            <w:pPr>
              <w:spacing w:line="440" w:lineRule="exact"/>
              <w:jc w:val="center"/>
              <w:rPr>
                <w:rFonts w:hint="eastAsia" w:ascii="宋体" w:hAnsi="宋体" w:eastAsia="宋体" w:cs="宋体"/>
                <w:snapToGrid/>
                <w:sz w:val="24"/>
                <w:szCs w:val="24"/>
              </w:rPr>
            </w:pPr>
            <w:r>
              <w:rPr>
                <w:rFonts w:hint="eastAsia" w:ascii="宋体" w:hAnsi="宋体" w:eastAsia="宋体" w:cs="宋体"/>
                <w:snapToGrid/>
                <w:sz w:val="24"/>
                <w:szCs w:val="24"/>
              </w:rPr>
              <w:t>2</w:t>
            </w:r>
          </w:p>
        </w:tc>
        <w:tc>
          <w:tcPr>
            <w:tcW w:w="1035" w:type="dxa"/>
            <w:tcBorders>
              <w:top w:val="single" w:color="000000" w:sz="4" w:space="0"/>
              <w:left w:val="nil"/>
              <w:bottom w:val="single" w:color="000000" w:sz="4" w:space="0"/>
              <w:right w:val="single" w:color="000000" w:sz="4" w:space="0"/>
            </w:tcBorders>
            <w:noWrap w:val="0"/>
            <w:vAlign w:val="center"/>
          </w:tcPr>
          <w:p w14:paraId="3909DC97">
            <w:pPr>
              <w:spacing w:line="440" w:lineRule="exact"/>
              <w:jc w:val="left"/>
              <w:rPr>
                <w:rFonts w:hint="eastAsia" w:ascii="宋体" w:hAnsi="宋体" w:eastAsia="宋体" w:cs="宋体"/>
                <w:snapToGrid/>
                <w:sz w:val="24"/>
                <w:szCs w:val="24"/>
              </w:rPr>
            </w:pPr>
            <w:r>
              <w:rPr>
                <w:rFonts w:hint="eastAsia" w:ascii="宋体" w:hAnsi="宋体" w:eastAsia="宋体" w:cs="宋体"/>
                <w:snapToGrid/>
                <w:sz w:val="24"/>
                <w:szCs w:val="24"/>
              </w:rPr>
              <w:t>参数响应</w:t>
            </w:r>
            <w:r>
              <w:rPr>
                <w:rFonts w:hint="eastAsia" w:ascii="宋体" w:hAnsi="宋体" w:eastAsia="宋体" w:cs="宋体"/>
                <w:snapToGrid/>
                <w:sz w:val="24"/>
                <w:szCs w:val="24"/>
                <w:lang w:val="en-US" w:eastAsia="zh-CN"/>
              </w:rPr>
              <w:t>39.5</w:t>
            </w:r>
            <w:r>
              <w:rPr>
                <w:rFonts w:hint="eastAsia" w:ascii="宋体" w:hAnsi="宋体" w:eastAsia="宋体" w:cs="宋体"/>
                <w:snapToGrid/>
                <w:sz w:val="24"/>
                <w:szCs w:val="24"/>
              </w:rPr>
              <w:t>%</w:t>
            </w:r>
          </w:p>
        </w:tc>
        <w:tc>
          <w:tcPr>
            <w:tcW w:w="861" w:type="dxa"/>
            <w:tcBorders>
              <w:top w:val="single" w:color="000000" w:sz="4" w:space="0"/>
              <w:left w:val="nil"/>
              <w:bottom w:val="single" w:color="000000" w:sz="4" w:space="0"/>
              <w:right w:val="single" w:color="000000" w:sz="4" w:space="0"/>
            </w:tcBorders>
            <w:noWrap w:val="0"/>
            <w:vAlign w:val="center"/>
          </w:tcPr>
          <w:p w14:paraId="42025A6E">
            <w:pPr>
              <w:spacing w:line="440" w:lineRule="exact"/>
              <w:jc w:val="center"/>
              <w:rPr>
                <w:rFonts w:hint="default" w:ascii="宋体" w:hAnsi="宋体" w:eastAsia="宋体" w:cs="宋体"/>
                <w:snapToGrid/>
                <w:sz w:val="24"/>
                <w:szCs w:val="24"/>
                <w:lang w:val="en-US" w:eastAsia="zh-CN"/>
              </w:rPr>
            </w:pPr>
            <w:r>
              <w:rPr>
                <w:rFonts w:hint="eastAsia" w:ascii="宋体" w:hAnsi="宋体" w:eastAsia="宋体" w:cs="宋体"/>
                <w:snapToGrid/>
                <w:sz w:val="24"/>
                <w:szCs w:val="24"/>
                <w:lang w:val="en-US" w:eastAsia="zh-CN"/>
              </w:rPr>
              <w:t>39.5</w:t>
            </w:r>
            <w:r>
              <w:rPr>
                <w:rFonts w:hint="eastAsia" w:ascii="宋体" w:hAnsi="宋体" w:eastAsia="宋体" w:cs="宋体"/>
                <w:sz w:val="24"/>
                <w:szCs w:val="24"/>
              </w:rPr>
              <w:t>分</w:t>
            </w:r>
          </w:p>
        </w:tc>
        <w:tc>
          <w:tcPr>
            <w:tcW w:w="6945" w:type="dxa"/>
            <w:tcBorders>
              <w:top w:val="single" w:color="000000" w:sz="4" w:space="0"/>
              <w:left w:val="nil"/>
              <w:bottom w:val="single" w:color="000000" w:sz="4" w:space="0"/>
              <w:right w:val="single" w:color="000000" w:sz="4" w:space="0"/>
            </w:tcBorders>
            <w:noWrap w:val="0"/>
            <w:vAlign w:val="center"/>
          </w:tcPr>
          <w:p w14:paraId="196D8CB8">
            <w:pPr>
              <w:wordWrap w:val="0"/>
              <w:spacing w:line="0" w:lineRule="atLeast"/>
              <w:jc w:val="left"/>
              <w:rPr>
                <w:rFonts w:hint="eastAsia" w:ascii="宋体" w:hAnsi="宋体" w:eastAsia="宋体" w:cs="宋体"/>
                <w:snapToGrid/>
                <w:sz w:val="24"/>
                <w:szCs w:val="24"/>
              </w:rPr>
            </w:pPr>
            <w:r>
              <w:rPr>
                <w:rFonts w:hint="eastAsia" w:ascii="宋体" w:hAnsi="宋体" w:eastAsia="宋体" w:cs="宋体"/>
                <w:snapToGrid/>
                <w:sz w:val="24"/>
                <w:szCs w:val="24"/>
              </w:rPr>
              <w:t>带“★”项参数为实质性参数，不满足作无效处理。（1）带“▲”参数条款共10条，每有一项负偏离扣3分；（2）除带“★”条款、“▲”条款之外的一般参数条款共</w:t>
            </w:r>
            <w:r>
              <w:rPr>
                <w:rFonts w:hint="eastAsia" w:ascii="宋体" w:hAnsi="宋体" w:eastAsia="宋体" w:cs="宋体"/>
                <w:snapToGrid/>
                <w:sz w:val="24"/>
                <w:szCs w:val="24"/>
                <w:lang w:val="en-US" w:eastAsia="zh-CN"/>
              </w:rPr>
              <w:t>计38条共计9.5分，</w:t>
            </w:r>
            <w:r>
              <w:rPr>
                <w:rFonts w:hint="eastAsia" w:ascii="宋体" w:hAnsi="宋体" w:eastAsia="宋体" w:cs="宋体"/>
                <w:snapToGrid/>
                <w:sz w:val="24"/>
                <w:szCs w:val="24"/>
              </w:rPr>
              <w:t>每有一项负偏离扣0.25分；扣完为止。注:针对技术参数条款的响应，如要求提供证明材料予以佐证的，须按要求提供证明材料复印件并加盖供应商鲜章。未提供(无)证明文件视为负偏离。成交后如发现所提供佐证材料擅自伪造篡改，与厂家资料或专业检测机构所备案材料不符的，以提供虚假材料谋取成交的情形处理。</w:t>
            </w:r>
          </w:p>
        </w:tc>
      </w:tr>
      <w:tr w14:paraId="0821E39E">
        <w:tblPrEx>
          <w:tblCellMar>
            <w:top w:w="0" w:type="dxa"/>
            <w:left w:w="108" w:type="dxa"/>
            <w:bottom w:w="0" w:type="dxa"/>
            <w:right w:w="108" w:type="dxa"/>
          </w:tblCellMar>
        </w:tblPrEx>
        <w:trPr>
          <w:trHeight w:val="2717" w:hRule="atLeast"/>
          <w:jc w:val="center"/>
        </w:trPr>
        <w:tc>
          <w:tcPr>
            <w:tcW w:w="793" w:type="dxa"/>
            <w:tcBorders>
              <w:top w:val="single" w:color="000000" w:sz="4" w:space="0"/>
              <w:left w:val="single" w:color="000000" w:sz="4" w:space="0"/>
              <w:bottom w:val="single" w:color="000000" w:sz="4" w:space="0"/>
              <w:right w:val="single" w:color="000000" w:sz="4" w:space="0"/>
            </w:tcBorders>
            <w:noWrap w:val="0"/>
            <w:vAlign w:val="center"/>
          </w:tcPr>
          <w:p w14:paraId="69A70C81">
            <w:pPr>
              <w:spacing w:line="440" w:lineRule="exact"/>
              <w:jc w:val="center"/>
              <w:rPr>
                <w:rFonts w:hint="eastAsia" w:ascii="宋体" w:hAnsi="宋体" w:eastAsia="宋体" w:cs="宋体"/>
                <w:snapToGrid/>
                <w:sz w:val="24"/>
                <w:szCs w:val="24"/>
              </w:rPr>
            </w:pPr>
            <w:r>
              <w:rPr>
                <w:rFonts w:hint="eastAsia" w:ascii="宋体" w:hAnsi="宋体" w:eastAsia="宋体" w:cs="宋体"/>
                <w:snapToGrid/>
                <w:sz w:val="24"/>
                <w:szCs w:val="24"/>
              </w:rPr>
              <w:t>3</w:t>
            </w:r>
          </w:p>
        </w:tc>
        <w:tc>
          <w:tcPr>
            <w:tcW w:w="1035" w:type="dxa"/>
            <w:tcBorders>
              <w:top w:val="single" w:color="000000" w:sz="4" w:space="0"/>
              <w:left w:val="nil"/>
              <w:bottom w:val="single" w:color="000000" w:sz="4" w:space="0"/>
              <w:right w:val="single" w:color="000000" w:sz="4" w:space="0"/>
            </w:tcBorders>
            <w:noWrap w:val="0"/>
            <w:vAlign w:val="center"/>
          </w:tcPr>
          <w:p w14:paraId="1ED14477">
            <w:pPr>
              <w:spacing w:line="440" w:lineRule="exact"/>
              <w:jc w:val="left"/>
              <w:rPr>
                <w:rFonts w:hint="eastAsia" w:ascii="宋体" w:hAnsi="宋体" w:eastAsia="宋体" w:cs="宋体"/>
                <w:snapToGrid/>
                <w:sz w:val="24"/>
                <w:szCs w:val="24"/>
              </w:rPr>
            </w:pPr>
            <w:r>
              <w:rPr>
                <w:rFonts w:hint="eastAsia" w:ascii="宋体" w:hAnsi="宋体" w:eastAsia="宋体" w:cs="宋体"/>
                <w:sz w:val="24"/>
                <w:szCs w:val="24"/>
              </w:rPr>
              <w:t>项目实施方案12%</w:t>
            </w:r>
          </w:p>
        </w:tc>
        <w:tc>
          <w:tcPr>
            <w:tcW w:w="861" w:type="dxa"/>
            <w:tcBorders>
              <w:top w:val="single" w:color="000000" w:sz="4" w:space="0"/>
              <w:left w:val="nil"/>
              <w:bottom w:val="single" w:color="000000" w:sz="4" w:space="0"/>
              <w:right w:val="single" w:color="000000" w:sz="4" w:space="0"/>
            </w:tcBorders>
            <w:noWrap w:val="0"/>
            <w:vAlign w:val="center"/>
          </w:tcPr>
          <w:p w14:paraId="701101CA">
            <w:pPr>
              <w:spacing w:line="440" w:lineRule="exact"/>
              <w:jc w:val="center"/>
              <w:rPr>
                <w:rFonts w:hint="eastAsia" w:ascii="宋体" w:hAnsi="宋体" w:eastAsia="宋体" w:cs="宋体"/>
                <w:snapToGrid/>
                <w:sz w:val="24"/>
                <w:szCs w:val="24"/>
              </w:rPr>
            </w:pPr>
            <w:r>
              <w:rPr>
                <w:rFonts w:hint="eastAsia" w:ascii="宋体" w:hAnsi="宋体" w:eastAsia="宋体" w:cs="宋体"/>
                <w:sz w:val="24"/>
                <w:szCs w:val="24"/>
              </w:rPr>
              <w:t>12分</w:t>
            </w:r>
          </w:p>
        </w:tc>
        <w:tc>
          <w:tcPr>
            <w:tcW w:w="6945" w:type="dxa"/>
            <w:tcBorders>
              <w:top w:val="single" w:color="000000" w:sz="4" w:space="0"/>
              <w:left w:val="nil"/>
              <w:bottom w:val="single" w:color="000000" w:sz="4" w:space="0"/>
              <w:right w:val="single" w:color="000000" w:sz="4" w:space="0"/>
            </w:tcBorders>
            <w:noWrap w:val="0"/>
            <w:vAlign w:val="center"/>
          </w:tcPr>
          <w:p w14:paraId="4FF712CC">
            <w:pPr>
              <w:numPr>
                <w:ilvl w:val="0"/>
                <w:numId w:val="5"/>
              </w:numPr>
              <w:wordWrap w:val="0"/>
              <w:spacing w:line="0" w:lineRule="atLeast"/>
              <w:jc w:val="left"/>
              <w:rPr>
                <w:rFonts w:hint="eastAsia" w:ascii="宋体" w:hAnsi="宋体" w:eastAsia="宋体" w:cs="宋体"/>
                <w:snapToGrid/>
                <w:sz w:val="24"/>
                <w:szCs w:val="24"/>
              </w:rPr>
            </w:pPr>
            <w:r>
              <w:rPr>
                <w:rFonts w:hint="eastAsia" w:ascii="宋体" w:hAnsi="宋体" w:eastAsia="宋体" w:cs="宋体"/>
                <w:snapToGrid/>
                <w:sz w:val="24"/>
                <w:szCs w:val="24"/>
              </w:rPr>
              <w:t>供应商应提供针对本项目的项目实施方案，包含以下部分：①质量保障措施；②备货及运输方案；③项目进度计划；④交货及验收方法。</w:t>
            </w:r>
            <w:r>
              <w:rPr>
                <w:rFonts w:hint="eastAsia" w:ascii="宋体" w:hAnsi="宋体" w:eastAsia="宋体" w:cs="宋体"/>
                <w:snapToGrid/>
                <w:sz w:val="24"/>
                <w:szCs w:val="24"/>
                <w:lang w:eastAsia="zh-CN"/>
              </w:rPr>
              <w:t>；</w:t>
            </w:r>
            <w:r>
              <w:rPr>
                <w:rFonts w:hint="eastAsia" w:ascii="宋体" w:hAnsi="宋体" w:eastAsia="宋体" w:cs="宋体"/>
                <w:color w:val="auto"/>
                <w:kern w:val="0"/>
                <w:sz w:val="24"/>
                <w:szCs w:val="24"/>
                <w:highlight w:val="none"/>
                <w:lang w:val="en-US" w:eastAsia="zh-CN"/>
              </w:rPr>
              <w:t>以上4项方案内容完整，内容齐全的得12分，每有一项缺项的扣3分，每项中有一处存在内容错误或不足的扣1.5分，扣完为止。</w:t>
            </w:r>
          </w:p>
          <w:p w14:paraId="41D50930">
            <w:pPr>
              <w:wordWrap w:val="0"/>
              <w:spacing w:line="0" w:lineRule="atLeast"/>
              <w:jc w:val="left"/>
              <w:rPr>
                <w:rFonts w:hint="eastAsia" w:ascii="宋体" w:hAnsi="宋体" w:eastAsia="宋体" w:cs="宋体"/>
                <w:snapToGrid/>
                <w:sz w:val="24"/>
                <w:szCs w:val="24"/>
              </w:rPr>
            </w:pPr>
            <w:r>
              <w:rPr>
                <w:rFonts w:hint="eastAsia" w:ascii="宋体" w:hAnsi="宋体" w:eastAsia="宋体" w:cs="宋体"/>
                <w:color w:val="auto"/>
                <w:kern w:val="0"/>
                <w:sz w:val="24"/>
                <w:szCs w:val="24"/>
                <w:highlight w:val="none"/>
                <w:lang w:val="en-US" w:eastAsia="zh-CN"/>
              </w:rPr>
              <w:t>【内容存在错误或不足是指：项目名称不符、内容与项目需求不一致、阐述内容仅罗列了上述要点，没有进行相应的说明:缺少具体的实施措施、方案内容仅有框架或标题、未能体现出本项目的特点或与实际需求不相符、安排无条理性、进度计划安排混乱或超期、明显复制其他项目内容或套用其他项目方案、不利于项目实施等任意一种情形。】</w:t>
            </w:r>
          </w:p>
        </w:tc>
      </w:tr>
      <w:tr w14:paraId="33FFC63D">
        <w:tblPrEx>
          <w:tblCellMar>
            <w:top w:w="0" w:type="dxa"/>
            <w:left w:w="108" w:type="dxa"/>
            <w:bottom w:w="0" w:type="dxa"/>
            <w:right w:w="108" w:type="dxa"/>
          </w:tblCellMar>
        </w:tblPrEx>
        <w:trPr>
          <w:trHeight w:val="90" w:hRule="atLeast"/>
          <w:jc w:val="center"/>
        </w:trPr>
        <w:tc>
          <w:tcPr>
            <w:tcW w:w="793" w:type="dxa"/>
            <w:tcBorders>
              <w:top w:val="single" w:color="000000" w:sz="4" w:space="0"/>
              <w:left w:val="single" w:color="000000" w:sz="4" w:space="0"/>
              <w:bottom w:val="single" w:color="000000" w:sz="4" w:space="0"/>
              <w:right w:val="single" w:color="000000" w:sz="4" w:space="0"/>
            </w:tcBorders>
            <w:noWrap w:val="0"/>
            <w:vAlign w:val="center"/>
          </w:tcPr>
          <w:p w14:paraId="5B992659">
            <w:pPr>
              <w:spacing w:line="440" w:lineRule="exact"/>
              <w:jc w:val="center"/>
              <w:rPr>
                <w:rFonts w:hint="eastAsia" w:ascii="宋体" w:hAnsi="宋体" w:eastAsia="宋体" w:cs="宋体"/>
                <w:snapToGrid/>
                <w:sz w:val="24"/>
                <w:szCs w:val="24"/>
              </w:rPr>
            </w:pPr>
          </w:p>
        </w:tc>
        <w:tc>
          <w:tcPr>
            <w:tcW w:w="1035" w:type="dxa"/>
            <w:tcBorders>
              <w:top w:val="single" w:color="000000" w:sz="4" w:space="0"/>
              <w:left w:val="nil"/>
              <w:bottom w:val="single" w:color="000000" w:sz="4" w:space="0"/>
              <w:right w:val="single" w:color="000000" w:sz="4" w:space="0"/>
            </w:tcBorders>
            <w:noWrap w:val="0"/>
            <w:vAlign w:val="center"/>
          </w:tcPr>
          <w:p w14:paraId="72F6C219">
            <w:pPr>
              <w:spacing w:line="440" w:lineRule="exact"/>
              <w:jc w:val="left"/>
              <w:rPr>
                <w:rFonts w:hint="eastAsia" w:ascii="宋体" w:hAnsi="宋体" w:eastAsia="宋体" w:cs="宋体"/>
                <w:snapToGrid/>
                <w:sz w:val="24"/>
                <w:szCs w:val="24"/>
              </w:rPr>
            </w:pPr>
            <w:r>
              <w:rPr>
                <w:rFonts w:hint="eastAsia" w:ascii="宋体" w:hAnsi="宋体" w:eastAsia="宋体" w:cs="宋体"/>
                <w:snapToGrid/>
                <w:sz w:val="24"/>
                <w:szCs w:val="24"/>
              </w:rPr>
              <w:t>售后服务方案16%</w:t>
            </w:r>
          </w:p>
        </w:tc>
        <w:tc>
          <w:tcPr>
            <w:tcW w:w="861" w:type="dxa"/>
            <w:tcBorders>
              <w:top w:val="single" w:color="000000" w:sz="4" w:space="0"/>
              <w:left w:val="nil"/>
              <w:bottom w:val="single" w:color="000000" w:sz="4" w:space="0"/>
              <w:right w:val="single" w:color="000000" w:sz="4" w:space="0"/>
            </w:tcBorders>
            <w:noWrap w:val="0"/>
            <w:vAlign w:val="center"/>
          </w:tcPr>
          <w:p w14:paraId="5E637773">
            <w:pPr>
              <w:spacing w:line="440" w:lineRule="exact"/>
              <w:jc w:val="center"/>
              <w:rPr>
                <w:rFonts w:hint="eastAsia" w:ascii="宋体" w:hAnsi="宋体" w:eastAsia="宋体" w:cs="宋体"/>
                <w:snapToGrid/>
                <w:sz w:val="24"/>
                <w:szCs w:val="24"/>
              </w:rPr>
            </w:pPr>
            <w:r>
              <w:rPr>
                <w:rFonts w:hint="eastAsia" w:ascii="宋体" w:hAnsi="宋体" w:eastAsia="宋体" w:cs="宋体"/>
                <w:snapToGrid/>
                <w:sz w:val="24"/>
                <w:szCs w:val="24"/>
              </w:rPr>
              <w:t>16</w:t>
            </w:r>
            <w:r>
              <w:rPr>
                <w:rFonts w:hint="eastAsia" w:ascii="宋体" w:hAnsi="宋体" w:eastAsia="宋体" w:cs="宋体"/>
                <w:sz w:val="24"/>
                <w:szCs w:val="24"/>
              </w:rPr>
              <w:t>分</w:t>
            </w:r>
          </w:p>
        </w:tc>
        <w:tc>
          <w:tcPr>
            <w:tcW w:w="6945" w:type="dxa"/>
            <w:tcBorders>
              <w:top w:val="single" w:color="000000" w:sz="4" w:space="0"/>
              <w:left w:val="nil"/>
              <w:bottom w:val="single" w:color="000000" w:sz="4" w:space="0"/>
              <w:right w:val="single" w:color="000000" w:sz="4" w:space="0"/>
            </w:tcBorders>
            <w:noWrap w:val="0"/>
            <w:vAlign w:val="center"/>
          </w:tcPr>
          <w:p w14:paraId="73BE1027">
            <w:pPr>
              <w:numPr>
                <w:ilvl w:val="0"/>
                <w:numId w:val="5"/>
              </w:numPr>
              <w:wordWrap w:val="0"/>
              <w:spacing w:line="0" w:lineRule="atLeast"/>
              <w:jc w:val="left"/>
              <w:rPr>
                <w:rFonts w:hint="eastAsia" w:ascii="宋体" w:hAnsi="宋体" w:eastAsia="宋体" w:cs="宋体"/>
                <w:snapToGrid/>
                <w:sz w:val="24"/>
                <w:szCs w:val="24"/>
              </w:rPr>
            </w:pPr>
            <w:r>
              <w:rPr>
                <w:rFonts w:hint="eastAsia" w:ascii="宋体" w:hAnsi="宋体" w:eastAsia="宋体" w:cs="宋体"/>
                <w:snapToGrid/>
                <w:sz w:val="24"/>
                <w:szCs w:val="24"/>
              </w:rPr>
              <w:t>根据供应商针对本项目提供的售后服务方案（至少包括①售后服务体系、②应急及故障响应方案、③培训计划、④售后服务保障措施</w:t>
            </w:r>
            <w:r>
              <w:rPr>
                <w:rFonts w:hint="eastAsia" w:ascii="宋体" w:hAnsi="宋体" w:eastAsia="宋体" w:cs="宋体"/>
                <w:snapToGrid/>
                <w:sz w:val="24"/>
                <w:szCs w:val="24"/>
                <w:lang w:eastAsia="zh-CN"/>
              </w:rPr>
              <w:t>；</w:t>
            </w:r>
            <w:r>
              <w:rPr>
                <w:rFonts w:hint="eastAsia" w:ascii="宋体" w:hAnsi="宋体" w:eastAsia="宋体" w:cs="宋体"/>
                <w:color w:val="auto"/>
                <w:kern w:val="0"/>
                <w:sz w:val="24"/>
                <w:szCs w:val="24"/>
                <w:highlight w:val="none"/>
                <w:lang w:val="en-US" w:eastAsia="zh-CN"/>
              </w:rPr>
              <w:t>以上4项方案内容完整，内容齐全的得16分，每有一项缺项的扣4分，每项中有一处存在内容错误或不足的扣2分，扣完为止。</w:t>
            </w:r>
          </w:p>
          <w:p w14:paraId="09CB40DD">
            <w:pPr>
              <w:numPr>
                <w:ilvl w:val="0"/>
                <w:numId w:val="0"/>
              </w:numPr>
              <w:wordWrap w:val="0"/>
              <w:spacing w:line="0" w:lineRule="atLeast"/>
              <w:jc w:val="left"/>
              <w:rPr>
                <w:rFonts w:hint="eastAsia" w:ascii="宋体" w:hAnsi="宋体" w:eastAsia="宋体" w:cs="宋体"/>
                <w:snapToGrid/>
                <w:sz w:val="24"/>
                <w:szCs w:val="24"/>
              </w:rPr>
            </w:pPr>
            <w:r>
              <w:rPr>
                <w:rFonts w:hint="eastAsia" w:ascii="宋体" w:hAnsi="宋体" w:eastAsia="宋体" w:cs="宋体"/>
                <w:color w:val="auto"/>
                <w:kern w:val="0"/>
                <w:sz w:val="24"/>
                <w:szCs w:val="24"/>
                <w:highlight w:val="none"/>
                <w:lang w:val="en-US" w:eastAsia="zh-CN"/>
              </w:rPr>
              <w:t>【内容存在错误或不足是指：项目名称不符、内容与项目需求不一致、阐述内容仅罗列了上述要点，没有进行相应的说明:缺少具体的实施措施、方案内容仅有框架或标题、未能体现出本项目的特点或与实际需求不相符、安排无条理性、进度计划安排混乱或超期、明显复制其他项目内容或套用其他项目方案、不利于项目实施等任意一种情形。】</w:t>
            </w:r>
          </w:p>
        </w:tc>
      </w:tr>
      <w:tr w14:paraId="6D63CF3C">
        <w:tblPrEx>
          <w:tblCellMar>
            <w:top w:w="0" w:type="dxa"/>
            <w:left w:w="108" w:type="dxa"/>
            <w:bottom w:w="0" w:type="dxa"/>
            <w:right w:w="108" w:type="dxa"/>
          </w:tblCellMar>
        </w:tblPrEx>
        <w:trPr>
          <w:trHeight w:val="914" w:hRule="atLeast"/>
          <w:jc w:val="center"/>
        </w:trPr>
        <w:tc>
          <w:tcPr>
            <w:tcW w:w="793" w:type="dxa"/>
            <w:tcBorders>
              <w:top w:val="single" w:color="000000" w:sz="4" w:space="0"/>
              <w:left w:val="single" w:color="000000" w:sz="4" w:space="0"/>
              <w:bottom w:val="single" w:color="000000" w:sz="4" w:space="0"/>
              <w:right w:val="single" w:color="000000" w:sz="4" w:space="0"/>
            </w:tcBorders>
            <w:noWrap w:val="0"/>
            <w:vAlign w:val="center"/>
          </w:tcPr>
          <w:p w14:paraId="3C0E1F13">
            <w:pPr>
              <w:wordWrap w:val="0"/>
              <w:spacing w:line="0" w:lineRule="atLeast"/>
              <w:jc w:val="center"/>
              <w:rPr>
                <w:rFonts w:hint="eastAsia" w:ascii="宋体" w:hAnsi="宋体" w:eastAsia="宋体" w:cs="宋体"/>
                <w:snapToGrid/>
                <w:sz w:val="24"/>
                <w:szCs w:val="24"/>
              </w:rPr>
            </w:pPr>
            <w:r>
              <w:rPr>
                <w:rFonts w:hint="eastAsia" w:ascii="宋体" w:hAnsi="宋体" w:eastAsia="宋体" w:cs="宋体"/>
                <w:bCs/>
                <w:snapToGrid/>
                <w:sz w:val="24"/>
                <w:szCs w:val="24"/>
              </w:rPr>
              <w:t>5</w:t>
            </w:r>
          </w:p>
        </w:tc>
        <w:tc>
          <w:tcPr>
            <w:tcW w:w="1035" w:type="dxa"/>
            <w:tcBorders>
              <w:top w:val="single" w:color="000000" w:sz="4" w:space="0"/>
              <w:left w:val="nil"/>
              <w:bottom w:val="single" w:color="000000" w:sz="4" w:space="0"/>
              <w:right w:val="single" w:color="000000" w:sz="4" w:space="0"/>
            </w:tcBorders>
            <w:noWrap w:val="0"/>
            <w:vAlign w:val="center"/>
          </w:tcPr>
          <w:p w14:paraId="6CD4A519">
            <w:pPr>
              <w:wordWrap w:val="0"/>
              <w:spacing w:line="0" w:lineRule="atLeast"/>
              <w:jc w:val="center"/>
              <w:rPr>
                <w:rFonts w:hint="eastAsia" w:ascii="宋体" w:hAnsi="宋体" w:eastAsia="宋体" w:cs="宋体"/>
                <w:snapToGrid/>
                <w:sz w:val="24"/>
                <w:szCs w:val="24"/>
              </w:rPr>
            </w:pPr>
            <w:r>
              <w:rPr>
                <w:rFonts w:hint="eastAsia" w:ascii="宋体" w:hAnsi="宋体" w:eastAsia="宋体" w:cs="宋体"/>
                <w:snapToGrid/>
                <w:sz w:val="24"/>
                <w:szCs w:val="24"/>
                <w:lang w:val="en-US" w:eastAsia="zh-CN"/>
              </w:rPr>
              <w:t>业绩</w:t>
            </w:r>
            <w:r>
              <w:rPr>
                <w:rFonts w:hint="eastAsia" w:ascii="宋体" w:hAnsi="宋体" w:eastAsia="宋体" w:cs="宋体"/>
                <w:snapToGrid/>
                <w:sz w:val="24"/>
                <w:szCs w:val="24"/>
              </w:rPr>
              <w:t>2</w:t>
            </w:r>
            <w:r>
              <w:rPr>
                <w:rFonts w:hint="eastAsia" w:ascii="宋体" w:hAnsi="宋体" w:eastAsia="宋体" w:cs="宋体"/>
                <w:snapToGrid/>
                <w:sz w:val="24"/>
                <w:szCs w:val="24"/>
                <w:lang w:val="en-US" w:eastAsia="zh-CN"/>
              </w:rPr>
              <w:t>.5</w:t>
            </w:r>
            <w:r>
              <w:rPr>
                <w:rFonts w:hint="eastAsia" w:ascii="宋体" w:hAnsi="宋体" w:eastAsia="宋体" w:cs="宋体"/>
                <w:snapToGrid/>
                <w:sz w:val="24"/>
                <w:szCs w:val="24"/>
              </w:rPr>
              <w:t>%</w:t>
            </w:r>
          </w:p>
        </w:tc>
        <w:tc>
          <w:tcPr>
            <w:tcW w:w="861" w:type="dxa"/>
            <w:tcBorders>
              <w:top w:val="single" w:color="000000" w:sz="4" w:space="0"/>
              <w:left w:val="nil"/>
              <w:bottom w:val="single" w:color="000000" w:sz="4" w:space="0"/>
              <w:right w:val="single" w:color="000000" w:sz="4" w:space="0"/>
            </w:tcBorders>
            <w:noWrap w:val="0"/>
            <w:vAlign w:val="center"/>
          </w:tcPr>
          <w:p w14:paraId="592A3AF3">
            <w:pPr>
              <w:wordWrap w:val="0"/>
              <w:spacing w:line="0" w:lineRule="atLeast"/>
              <w:jc w:val="center"/>
              <w:rPr>
                <w:rFonts w:hint="eastAsia" w:ascii="宋体" w:hAnsi="宋体" w:eastAsia="宋体" w:cs="宋体"/>
                <w:snapToGrid/>
                <w:sz w:val="24"/>
                <w:szCs w:val="24"/>
              </w:rPr>
            </w:pPr>
            <w:r>
              <w:rPr>
                <w:rFonts w:hint="eastAsia" w:ascii="宋体" w:hAnsi="宋体" w:eastAsia="宋体" w:cs="宋体"/>
                <w:snapToGrid/>
                <w:sz w:val="24"/>
                <w:szCs w:val="24"/>
              </w:rPr>
              <w:t>2</w:t>
            </w:r>
            <w:r>
              <w:rPr>
                <w:rFonts w:hint="eastAsia" w:ascii="宋体" w:hAnsi="宋体" w:eastAsia="宋体" w:cs="宋体"/>
                <w:snapToGrid/>
                <w:sz w:val="24"/>
                <w:szCs w:val="24"/>
                <w:lang w:val="en-US" w:eastAsia="zh-CN"/>
              </w:rPr>
              <w:t>.5</w:t>
            </w:r>
            <w:r>
              <w:rPr>
                <w:rFonts w:hint="eastAsia" w:ascii="宋体" w:hAnsi="宋体" w:eastAsia="宋体" w:cs="宋体"/>
                <w:sz w:val="24"/>
                <w:szCs w:val="24"/>
              </w:rPr>
              <w:t>分</w:t>
            </w:r>
          </w:p>
        </w:tc>
        <w:tc>
          <w:tcPr>
            <w:tcW w:w="6945" w:type="dxa"/>
            <w:tcBorders>
              <w:top w:val="single" w:color="000000" w:sz="4" w:space="0"/>
              <w:left w:val="nil"/>
              <w:bottom w:val="single" w:color="000000" w:sz="4" w:space="0"/>
              <w:right w:val="single" w:color="000000" w:sz="4" w:space="0"/>
            </w:tcBorders>
            <w:noWrap w:val="0"/>
            <w:vAlign w:val="center"/>
          </w:tcPr>
          <w:p w14:paraId="2E97B1E8">
            <w:pPr>
              <w:wordWrap w:val="0"/>
              <w:spacing w:line="0" w:lineRule="atLeast"/>
              <w:jc w:val="left"/>
              <w:rPr>
                <w:rFonts w:hint="eastAsia" w:ascii="宋体" w:hAnsi="宋体" w:eastAsia="宋体" w:cs="宋体"/>
                <w:snapToGrid/>
                <w:sz w:val="24"/>
                <w:szCs w:val="24"/>
                <w:lang w:val="en-US" w:eastAsia="zh-CN"/>
              </w:rPr>
            </w:pPr>
            <w:r>
              <w:rPr>
                <w:rFonts w:hint="eastAsia" w:ascii="宋体" w:hAnsi="宋体" w:eastAsia="宋体" w:cs="宋体"/>
                <w:snapToGrid/>
                <w:sz w:val="24"/>
                <w:szCs w:val="24"/>
                <w:lang w:val="en-US" w:eastAsia="zh-CN"/>
              </w:rPr>
              <w:t>自2023年1月1日以来，具有同类相关业绩1个，得2.5分。</w:t>
            </w:r>
          </w:p>
          <w:p w14:paraId="25CFB848">
            <w:pPr>
              <w:wordWrap w:val="0"/>
              <w:spacing w:line="0" w:lineRule="atLeast"/>
              <w:jc w:val="left"/>
              <w:rPr>
                <w:rFonts w:hint="default" w:ascii="宋体" w:hAnsi="宋体" w:eastAsia="宋体" w:cs="宋体"/>
                <w:snapToGrid/>
                <w:sz w:val="24"/>
                <w:szCs w:val="24"/>
                <w:lang w:val="en-US" w:eastAsia="zh-CN"/>
              </w:rPr>
            </w:pPr>
            <w:r>
              <w:rPr>
                <w:rFonts w:hint="eastAsia" w:ascii="宋体" w:hAnsi="宋体" w:eastAsia="宋体" w:cs="宋体"/>
                <w:color w:val="auto"/>
                <w:kern w:val="0"/>
                <w:sz w:val="24"/>
                <w:szCs w:val="24"/>
                <w:highlight w:val="none"/>
                <w:lang w:val="en-US" w:eastAsia="zh-CN"/>
              </w:rPr>
              <w:t>【提供采购合同，以签订时间为准；同类型指：货物采购</w:t>
            </w:r>
            <w:r>
              <w:rPr>
                <w:rFonts w:hint="eastAsia" w:ascii="宋体" w:hAnsi="宋体" w:cs="宋体"/>
                <w:color w:val="auto"/>
                <w:kern w:val="0"/>
                <w:sz w:val="24"/>
                <w:szCs w:val="24"/>
                <w:highlight w:val="none"/>
                <w:lang w:val="en-US" w:eastAsia="zh-CN"/>
              </w:rPr>
              <w:t>（提供的同类业绩</w:t>
            </w:r>
            <w:r>
              <w:rPr>
                <w:rFonts w:ascii="宋体" w:hAnsi="宋体" w:eastAsia="宋体" w:cs="宋体"/>
                <w:sz w:val="24"/>
                <w:szCs w:val="24"/>
              </w:rPr>
              <w:t>包含本项目采购清单内任意一种产品即可</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w:t>
            </w:r>
          </w:p>
        </w:tc>
      </w:tr>
    </w:tbl>
    <w:p w14:paraId="5E1FE33C">
      <w:pPr>
        <w:pStyle w:val="46"/>
        <w:ind w:left="0" w:leftChars="0" w:firstLine="0" w:firstLineChars="0"/>
        <w:rPr>
          <w:rFonts w:hint="eastAsia"/>
          <w:b/>
          <w:bCs/>
          <w:color w:val="auto"/>
          <w:sz w:val="24"/>
          <w:szCs w:val="24"/>
          <w:highlight w:val="none"/>
          <w:lang w:val="en-US" w:eastAsia="zh-CN"/>
        </w:rPr>
      </w:pPr>
    </w:p>
    <w:p w14:paraId="5AD2745A">
      <w:pPr>
        <w:rPr>
          <w:rFonts w:hint="eastAsia"/>
          <w:lang w:val="en-US" w:eastAsia="zh-CN"/>
        </w:rPr>
      </w:pPr>
    </w:p>
    <w:p w14:paraId="26180D39">
      <w:pPr>
        <w:keepLines w:val="0"/>
        <w:pageBreakBefore w:val="0"/>
        <w:kinsoku/>
        <w:overflowPunct/>
        <w:bidi w:val="0"/>
        <w:spacing w:line="360" w:lineRule="auto"/>
        <w:ind w:firstLine="480" w:firstLineChars="200"/>
        <w:rPr>
          <w:rFonts w:hint="default" w:eastAsia="宋体"/>
          <w:color w:val="auto"/>
          <w:highlight w:val="none"/>
          <w:lang w:val="en-US" w:eastAsia="zh-CN"/>
        </w:rPr>
      </w:pPr>
      <w:r>
        <w:rPr>
          <w:rFonts w:hint="eastAsia"/>
          <w:color w:val="auto"/>
          <w:highlight w:val="none"/>
          <w:lang w:val="en-US" w:eastAsia="zh-CN"/>
        </w:rPr>
        <w:t>4.3 实施本国产品标准价格扣除</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3570"/>
        <w:gridCol w:w="1506"/>
        <w:gridCol w:w="3476"/>
      </w:tblGrid>
      <w:tr w14:paraId="6E2E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14:paraId="3386F088">
            <w:pPr>
              <w:keepNext w:val="0"/>
              <w:keepLines w:val="0"/>
              <w:widowControl/>
              <w:suppressLineNumbers w:val="0"/>
              <w:jc w:val="left"/>
              <w:rPr>
                <w:rFonts w:hint="eastAsia"/>
                <w:color w:val="auto"/>
                <w:highlight w:val="none"/>
                <w:vertAlign w:val="baseline"/>
              </w:rPr>
            </w:pPr>
            <w:r>
              <w:rPr>
                <w:rFonts w:ascii="宋体" w:hAnsi="宋体" w:eastAsia="宋体" w:cs="宋体"/>
                <w:b/>
                <w:bCs/>
                <w:kern w:val="0"/>
                <w:sz w:val="24"/>
                <w:szCs w:val="24"/>
                <w:lang w:val="en-US" w:eastAsia="zh-CN" w:bidi="ar"/>
              </w:rPr>
              <w:t>评审内容</w:t>
            </w:r>
          </w:p>
        </w:tc>
        <w:tc>
          <w:tcPr>
            <w:tcW w:w="3570" w:type="dxa"/>
            <w:vAlign w:val="center"/>
          </w:tcPr>
          <w:p w14:paraId="0EA04E3D">
            <w:pPr>
              <w:keepNext w:val="0"/>
              <w:keepLines w:val="0"/>
              <w:widowControl/>
              <w:suppressLineNumbers w:val="0"/>
              <w:jc w:val="left"/>
              <w:rPr>
                <w:rFonts w:hint="eastAsia"/>
                <w:color w:val="auto"/>
                <w:highlight w:val="none"/>
                <w:vertAlign w:val="baseline"/>
              </w:rPr>
            </w:pPr>
            <w:r>
              <w:rPr>
                <w:rFonts w:ascii="宋体" w:hAnsi="宋体" w:eastAsia="宋体" w:cs="宋体"/>
                <w:b/>
                <w:bCs/>
                <w:kern w:val="0"/>
                <w:sz w:val="24"/>
                <w:szCs w:val="24"/>
                <w:lang w:val="en-US" w:eastAsia="zh-CN" w:bidi="ar"/>
              </w:rPr>
              <w:t>适用情形</w:t>
            </w:r>
          </w:p>
        </w:tc>
        <w:tc>
          <w:tcPr>
            <w:tcW w:w="1506" w:type="dxa"/>
            <w:vAlign w:val="center"/>
          </w:tcPr>
          <w:p w14:paraId="5EC71823">
            <w:pPr>
              <w:keepNext w:val="0"/>
              <w:keepLines w:val="0"/>
              <w:widowControl/>
              <w:suppressLineNumbers w:val="0"/>
              <w:jc w:val="left"/>
              <w:rPr>
                <w:rFonts w:hint="eastAsia"/>
                <w:color w:val="auto"/>
                <w:highlight w:val="none"/>
                <w:vertAlign w:val="baseline"/>
              </w:rPr>
            </w:pPr>
            <w:r>
              <w:rPr>
                <w:rFonts w:ascii="宋体" w:hAnsi="宋体" w:eastAsia="宋体" w:cs="宋体"/>
                <w:b/>
                <w:bCs/>
                <w:kern w:val="0"/>
                <w:sz w:val="24"/>
                <w:szCs w:val="24"/>
                <w:lang w:val="en-US" w:eastAsia="zh-CN" w:bidi="ar"/>
              </w:rPr>
              <w:t>扣除比例%</w:t>
            </w:r>
          </w:p>
        </w:tc>
        <w:tc>
          <w:tcPr>
            <w:tcW w:w="3476" w:type="dxa"/>
            <w:vAlign w:val="center"/>
          </w:tcPr>
          <w:p w14:paraId="6FE814D0">
            <w:pPr>
              <w:keepNext w:val="0"/>
              <w:keepLines w:val="0"/>
              <w:widowControl/>
              <w:suppressLineNumbers w:val="0"/>
              <w:jc w:val="left"/>
              <w:rPr>
                <w:rFonts w:hint="eastAsia"/>
                <w:color w:val="auto"/>
                <w:highlight w:val="none"/>
                <w:vertAlign w:val="baseline"/>
              </w:rPr>
            </w:pPr>
            <w:r>
              <w:rPr>
                <w:rFonts w:ascii="宋体" w:hAnsi="宋体" w:eastAsia="宋体" w:cs="宋体"/>
                <w:b/>
                <w:bCs/>
                <w:kern w:val="0"/>
                <w:sz w:val="24"/>
                <w:szCs w:val="24"/>
                <w:lang w:val="en-US" w:eastAsia="zh-CN" w:bidi="ar"/>
              </w:rPr>
              <w:t>具体标准和要求</w:t>
            </w:r>
          </w:p>
        </w:tc>
      </w:tr>
      <w:tr w14:paraId="7B40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14:paraId="635A4EA9">
            <w:pPr>
              <w:keepNext w:val="0"/>
              <w:keepLines w:val="0"/>
              <w:widowControl/>
              <w:suppressLineNumbers w:val="0"/>
              <w:jc w:val="left"/>
              <w:rPr>
                <w:rFonts w:hint="eastAsia"/>
                <w:color w:val="auto"/>
                <w:highlight w:val="none"/>
                <w:vertAlign w:val="baseline"/>
              </w:rPr>
            </w:pPr>
            <w:r>
              <w:rPr>
                <w:rFonts w:hint="eastAsia" w:ascii="宋体" w:hAnsi="宋体" w:eastAsia="宋体" w:cs="宋体"/>
                <w:kern w:val="0"/>
                <w:sz w:val="24"/>
                <w:szCs w:val="24"/>
                <w:lang w:val="en-US" w:eastAsia="zh-CN" w:bidi="ar"/>
              </w:rPr>
              <w:t>本</w:t>
            </w:r>
            <w:r>
              <w:rPr>
                <w:rFonts w:ascii="宋体" w:hAnsi="宋体" w:eastAsia="宋体" w:cs="宋体"/>
                <w:kern w:val="0"/>
                <w:sz w:val="24"/>
                <w:szCs w:val="24"/>
                <w:lang w:val="en-US" w:eastAsia="zh-CN" w:bidi="ar"/>
              </w:rPr>
              <w:t>国产品标准</w:t>
            </w:r>
          </w:p>
        </w:tc>
        <w:tc>
          <w:tcPr>
            <w:tcW w:w="3570" w:type="dxa"/>
            <w:vAlign w:val="center"/>
          </w:tcPr>
          <w:p w14:paraId="6E685DF8">
            <w:pPr>
              <w:keepNext w:val="0"/>
              <w:keepLines w:val="0"/>
              <w:widowControl/>
              <w:suppressLineNumbers w:val="0"/>
              <w:spacing w:line="360" w:lineRule="auto"/>
              <w:ind w:firstLine="480" w:firstLineChars="200"/>
              <w:jc w:val="left"/>
              <w:rPr>
                <w:rFonts w:hint="eastAsia"/>
                <w:color w:val="auto"/>
                <w:highlight w:val="none"/>
                <w:vertAlign w:val="baseline"/>
              </w:rPr>
            </w:pPr>
            <w:r>
              <w:rPr>
                <w:rFonts w:ascii="宋体" w:hAnsi="宋体" w:eastAsia="宋体" w:cs="宋体"/>
                <w:kern w:val="0"/>
                <w:sz w:val="24"/>
                <w:szCs w:val="24"/>
                <w:lang w:val="en-US" w:eastAsia="zh-CN" w:bidi="ar"/>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c>
          <w:tcPr>
            <w:tcW w:w="1506" w:type="dxa"/>
            <w:vAlign w:val="center"/>
          </w:tcPr>
          <w:p w14:paraId="6F0C61BF">
            <w:pPr>
              <w:keepNext w:val="0"/>
              <w:keepLines w:val="0"/>
              <w:widowControl/>
              <w:suppressLineNumbers w:val="0"/>
              <w:jc w:val="left"/>
              <w:rPr>
                <w:rFonts w:hint="eastAsia"/>
                <w:color w:val="auto"/>
                <w:highlight w:val="none"/>
                <w:vertAlign w:val="baseline"/>
              </w:rPr>
            </w:pPr>
            <w:r>
              <w:rPr>
                <w:rFonts w:ascii="宋体" w:hAnsi="宋体" w:eastAsia="宋体" w:cs="宋体"/>
                <w:kern w:val="0"/>
                <w:sz w:val="24"/>
                <w:szCs w:val="24"/>
                <w:lang w:val="en-US" w:eastAsia="zh-CN" w:bidi="ar"/>
              </w:rPr>
              <w:t>20%</w:t>
            </w:r>
          </w:p>
        </w:tc>
        <w:tc>
          <w:tcPr>
            <w:tcW w:w="3476" w:type="dxa"/>
            <w:vAlign w:val="center"/>
          </w:tcPr>
          <w:p w14:paraId="2987DEE5">
            <w:pPr>
              <w:keepNext w:val="0"/>
              <w:keepLines w:val="0"/>
              <w:widowControl/>
              <w:suppressLineNumbers w:val="0"/>
              <w:spacing w:line="360" w:lineRule="auto"/>
              <w:ind w:firstLine="480" w:firstLineChars="200"/>
              <w:jc w:val="left"/>
              <w:rPr>
                <w:rFonts w:hint="eastAsia"/>
                <w:color w:val="auto"/>
                <w:highlight w:val="none"/>
                <w:vertAlign w:val="baseline"/>
              </w:rPr>
            </w:pPr>
            <w:r>
              <w:rPr>
                <w:rFonts w:ascii="宋体" w:hAnsi="宋体" w:eastAsia="宋体" w:cs="宋体"/>
                <w:kern w:val="0"/>
                <w:sz w:val="24"/>
                <w:szCs w:val="24"/>
                <w:lang w:val="en-US" w:eastAsia="zh-CN" w:bidi="ar"/>
              </w:rPr>
              <w:t>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全部产品是指货物或服务采购项目或采购包中包含的全部货物、服务产品。</w:t>
            </w:r>
          </w:p>
        </w:tc>
      </w:tr>
    </w:tbl>
    <w:p w14:paraId="11BA562C">
      <w:pPr>
        <w:keepLines w:val="0"/>
        <w:pageBreakBefore w:val="0"/>
        <w:kinsoku/>
        <w:overflowPunct/>
        <w:bidi w:val="0"/>
        <w:spacing w:line="360" w:lineRule="auto"/>
        <w:ind w:firstLine="480" w:firstLineChars="200"/>
        <w:rPr>
          <w:rFonts w:hint="eastAsia"/>
          <w:color w:val="auto"/>
          <w:highlight w:val="none"/>
        </w:rPr>
      </w:pPr>
    </w:p>
    <w:p w14:paraId="69EFAB2C">
      <w:pPr>
        <w:keepLines w:val="0"/>
        <w:pageBreakBefore w:val="0"/>
        <w:kinsoku/>
        <w:overflowPunct/>
        <w:bidi w:val="0"/>
        <w:spacing w:line="360" w:lineRule="auto"/>
        <w:ind w:firstLine="480" w:firstLineChars="200"/>
        <w:rPr>
          <w:rFonts w:hint="eastAsia"/>
          <w:color w:val="auto"/>
          <w:highlight w:val="none"/>
        </w:rPr>
      </w:pPr>
    </w:p>
    <w:p w14:paraId="1F10F4B5">
      <w:pPr>
        <w:keepLines w:val="0"/>
        <w:pageBreakBefore w:val="0"/>
        <w:kinsoku/>
        <w:overflowPunct/>
        <w:bidi w:val="0"/>
        <w:spacing w:line="360" w:lineRule="auto"/>
        <w:ind w:firstLine="480" w:firstLineChars="200"/>
        <w:rPr>
          <w:color w:val="auto"/>
          <w:highlight w:val="none"/>
        </w:rPr>
      </w:pPr>
      <w:r>
        <w:rPr>
          <w:rFonts w:hint="eastAsia"/>
          <w:color w:val="auto"/>
          <w:highlight w:val="none"/>
        </w:rPr>
        <w:t>注：1.评标时，评标委员会各成员应当独立对每个投标人的投标文件进行评价，并汇总每个投标人的得分。</w:t>
      </w:r>
    </w:p>
    <w:p w14:paraId="087BA3DA">
      <w:pPr>
        <w:keepLines w:val="0"/>
        <w:pageBreakBefore w:val="0"/>
        <w:kinsoku/>
        <w:overflowPunct/>
        <w:bidi w:val="0"/>
        <w:spacing w:line="360" w:lineRule="auto"/>
        <w:ind w:firstLine="480" w:firstLineChars="200"/>
        <w:rPr>
          <w:color w:val="auto"/>
          <w:highlight w:val="none"/>
        </w:rPr>
      </w:pPr>
      <w:r>
        <w:rPr>
          <w:rFonts w:hint="eastAsia"/>
          <w:color w:val="auto"/>
          <w:highlight w:val="none"/>
        </w:rPr>
        <w:t xml:space="preserve">    2.评分的取值按四舍五入法，保留小数点后两位。</w:t>
      </w:r>
    </w:p>
    <w:p w14:paraId="5F72846E">
      <w:pPr>
        <w:pStyle w:val="4"/>
        <w:keepLines w:val="0"/>
        <w:pageBreakBefore w:val="0"/>
        <w:kinsoku/>
        <w:overflowPunct/>
        <w:bidi w:val="0"/>
        <w:spacing w:line="360" w:lineRule="auto"/>
        <w:rPr>
          <w:color w:val="auto"/>
          <w:highlight w:val="none"/>
        </w:rPr>
      </w:pPr>
      <w:r>
        <w:rPr>
          <w:rFonts w:hint="eastAsia"/>
          <w:color w:val="auto"/>
          <w:highlight w:val="none"/>
        </w:rPr>
        <w:t>5、 废 标</w:t>
      </w:r>
    </w:p>
    <w:p w14:paraId="72F822D7">
      <w:pPr>
        <w:keepLines w:val="0"/>
        <w:pageBreakBefore w:val="0"/>
        <w:kinsoku/>
        <w:overflowPunct/>
        <w:bidi w:val="0"/>
        <w:spacing w:line="360" w:lineRule="auto"/>
        <w:ind w:firstLine="480" w:firstLineChars="200"/>
        <w:rPr>
          <w:color w:val="auto"/>
          <w:highlight w:val="none"/>
        </w:rPr>
      </w:pPr>
      <w:r>
        <w:rPr>
          <w:rFonts w:hint="eastAsia"/>
          <w:color w:val="auto"/>
          <w:highlight w:val="none"/>
        </w:rPr>
        <w:t>5.1本次政府采购活动中，出现下列情形之一的，予以废标：</w:t>
      </w:r>
    </w:p>
    <w:p w14:paraId="379DF141">
      <w:pPr>
        <w:keepLines w:val="0"/>
        <w:pageBreakBefore w:val="0"/>
        <w:kinsoku/>
        <w:overflowPunct/>
        <w:bidi w:val="0"/>
        <w:spacing w:line="360" w:lineRule="auto"/>
        <w:ind w:firstLine="480" w:firstLineChars="200"/>
        <w:rPr>
          <w:color w:val="auto"/>
          <w:highlight w:val="none"/>
        </w:rPr>
      </w:pPr>
      <w:r>
        <w:rPr>
          <w:rFonts w:hint="eastAsia"/>
          <w:color w:val="auto"/>
          <w:highlight w:val="none"/>
        </w:rPr>
        <w:t>（1）符合专业条件的供应商或者对招标文件作实质响应的</w:t>
      </w:r>
      <w:r>
        <w:rPr>
          <w:rFonts w:hint="eastAsia"/>
          <w:color w:val="auto"/>
          <w:highlight w:val="none"/>
          <w:lang w:val="en-US" w:eastAsia="zh-CN"/>
        </w:rPr>
        <w:t>投标人</w:t>
      </w:r>
      <w:r>
        <w:rPr>
          <w:rFonts w:hint="eastAsia"/>
          <w:color w:val="auto"/>
          <w:highlight w:val="none"/>
        </w:rPr>
        <w:t>不足三家的；</w:t>
      </w:r>
    </w:p>
    <w:p w14:paraId="601982BD">
      <w:pPr>
        <w:keepLines w:val="0"/>
        <w:pageBreakBefore w:val="0"/>
        <w:kinsoku/>
        <w:overflowPunct/>
        <w:bidi w:val="0"/>
        <w:spacing w:line="360" w:lineRule="auto"/>
        <w:ind w:firstLine="480" w:firstLineChars="200"/>
        <w:rPr>
          <w:color w:val="auto"/>
          <w:highlight w:val="none"/>
        </w:rPr>
      </w:pPr>
      <w:r>
        <w:rPr>
          <w:rFonts w:hint="eastAsia"/>
          <w:color w:val="auto"/>
          <w:highlight w:val="none"/>
        </w:rPr>
        <w:t>（2）出现影响采购公正的违法、违规行为的；</w:t>
      </w:r>
    </w:p>
    <w:p w14:paraId="7F59818E">
      <w:pPr>
        <w:keepLines w:val="0"/>
        <w:pageBreakBefore w:val="0"/>
        <w:kinsoku/>
        <w:overflowPunct/>
        <w:bidi w:val="0"/>
        <w:spacing w:line="360" w:lineRule="auto"/>
        <w:ind w:firstLine="480" w:firstLineChars="200"/>
        <w:rPr>
          <w:color w:val="auto"/>
          <w:highlight w:val="none"/>
        </w:rPr>
      </w:pPr>
      <w:r>
        <w:rPr>
          <w:rFonts w:hint="eastAsia"/>
          <w:color w:val="auto"/>
          <w:highlight w:val="none"/>
        </w:rPr>
        <w:t>（3）投标人的报价均超过了采购预算，采购人不能支付的；</w:t>
      </w:r>
    </w:p>
    <w:p w14:paraId="78366191">
      <w:pPr>
        <w:keepLines w:val="0"/>
        <w:pageBreakBefore w:val="0"/>
        <w:kinsoku/>
        <w:overflowPunct/>
        <w:bidi w:val="0"/>
        <w:spacing w:line="360" w:lineRule="auto"/>
        <w:ind w:firstLine="480" w:firstLineChars="200"/>
        <w:rPr>
          <w:color w:val="auto"/>
          <w:highlight w:val="none"/>
        </w:rPr>
      </w:pPr>
      <w:r>
        <w:rPr>
          <w:rFonts w:hint="eastAsia"/>
          <w:color w:val="auto"/>
          <w:highlight w:val="none"/>
        </w:rPr>
        <w:t>（4）因重大变故，采购任务取消的。</w:t>
      </w:r>
    </w:p>
    <w:p w14:paraId="1EE59261">
      <w:pPr>
        <w:keepLines w:val="0"/>
        <w:pageBreakBefore w:val="0"/>
        <w:kinsoku/>
        <w:overflowPunct/>
        <w:bidi w:val="0"/>
        <w:spacing w:line="360" w:lineRule="auto"/>
        <w:ind w:firstLine="480" w:firstLineChars="200"/>
        <w:rPr>
          <w:color w:val="auto"/>
          <w:highlight w:val="none"/>
        </w:rPr>
      </w:pPr>
      <w:r>
        <w:rPr>
          <w:rFonts w:hint="eastAsia"/>
          <w:color w:val="auto"/>
          <w:highlight w:val="none"/>
        </w:rPr>
        <w:t>废标后，采购代理机构应在</w:t>
      </w:r>
      <w:r>
        <w:rPr>
          <w:rFonts w:hint="eastAsia" w:ascii="宋体" w:hAnsi="宋体" w:cs="宋体"/>
          <w:b w:val="0"/>
          <w:bCs w:val="0"/>
          <w:color w:val="auto"/>
          <w:sz w:val="24"/>
          <w:highlight w:val="none"/>
          <w:lang w:eastAsia="zh-CN"/>
        </w:rPr>
        <w:t>“中国政府采购网”</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eastAsia="zh-CN"/>
        </w:rPr>
        <w:t>http://www.ccgp.gov.cn/</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和</w:t>
      </w:r>
      <w:r>
        <w:rPr>
          <w:rFonts w:hint="eastAsia" w:ascii="宋体" w:hAnsi="宋体" w:eastAsia="宋体" w:cs="宋体"/>
          <w:b w:val="0"/>
          <w:bCs w:val="0"/>
          <w:color w:val="000000"/>
          <w:sz w:val="24"/>
          <w:szCs w:val="28"/>
          <w:highlight w:val="none"/>
          <w:lang w:val="en-US" w:eastAsia="zh-CN"/>
        </w:rPr>
        <w:t>“四川联采招汇电子招标采购平台”(网址:http://www.sclczb.cn/)</w:t>
      </w:r>
      <w:r>
        <w:rPr>
          <w:rFonts w:hint="eastAsia"/>
          <w:color w:val="auto"/>
          <w:highlight w:val="none"/>
        </w:rPr>
        <w:t>上公告，并公告废标的情形。投标人需要知晓导致废标情形的具体原因和理由的，可以通过书面形式询问招标采购单位。</w:t>
      </w:r>
    </w:p>
    <w:p w14:paraId="098BE18A">
      <w:pPr>
        <w:keepLines w:val="0"/>
        <w:pageBreakBefore w:val="0"/>
        <w:kinsoku/>
        <w:overflowPunct/>
        <w:bidi w:val="0"/>
        <w:spacing w:line="360" w:lineRule="auto"/>
        <w:ind w:firstLine="480" w:firstLineChars="200"/>
        <w:rPr>
          <w:color w:val="auto"/>
          <w:highlight w:val="none"/>
        </w:rPr>
      </w:pPr>
      <w:r>
        <w:rPr>
          <w:rFonts w:hint="eastAsia"/>
          <w:color w:val="auto"/>
          <w:highlight w:val="none"/>
        </w:rPr>
        <w:t>5.2对于评标过程中废标的采购项目，评标委员会应当对招标文件是否存在倾向性和歧视性、是否存在不合理条款进行论证，并出具书面论证意见。</w:t>
      </w:r>
    </w:p>
    <w:p w14:paraId="1AF69B86">
      <w:pPr>
        <w:pStyle w:val="4"/>
        <w:keepLines w:val="0"/>
        <w:pageBreakBefore w:val="0"/>
        <w:kinsoku/>
        <w:overflowPunct/>
        <w:bidi w:val="0"/>
        <w:spacing w:line="360" w:lineRule="auto"/>
        <w:rPr>
          <w:color w:val="auto"/>
          <w:highlight w:val="none"/>
        </w:rPr>
      </w:pPr>
      <w:r>
        <w:rPr>
          <w:rFonts w:hint="eastAsia"/>
          <w:color w:val="auto"/>
          <w:highlight w:val="none"/>
        </w:rPr>
        <w:t>6、定标</w:t>
      </w:r>
      <w:bookmarkEnd w:id="184"/>
      <w:bookmarkStart w:id="185" w:name="_Toc217446061"/>
    </w:p>
    <w:p w14:paraId="79F6E2D1">
      <w:pPr>
        <w:keepLines w:val="0"/>
        <w:pageBreakBefore w:val="0"/>
        <w:kinsoku/>
        <w:overflowPunct/>
        <w:bidi w:val="0"/>
        <w:spacing w:line="360" w:lineRule="auto"/>
        <w:ind w:firstLine="480" w:firstLineChars="200"/>
        <w:rPr>
          <w:color w:val="auto"/>
          <w:highlight w:val="none"/>
        </w:rPr>
      </w:pPr>
      <w:r>
        <w:rPr>
          <w:rFonts w:hint="eastAsia"/>
          <w:color w:val="auto"/>
          <w:highlight w:val="none"/>
        </w:rPr>
        <w:t>6.1. 定标原则</w:t>
      </w:r>
      <w:bookmarkEnd w:id="185"/>
      <w:r>
        <w:rPr>
          <w:rFonts w:hint="eastAsia"/>
          <w:color w:val="auto"/>
          <w:highlight w:val="none"/>
        </w:rPr>
        <w:t>：本项目根据评标委员会推荐的中标候选供应商名单，按顺序确定中标供应商。</w:t>
      </w:r>
    </w:p>
    <w:p w14:paraId="18B65C83">
      <w:pPr>
        <w:keepLines w:val="0"/>
        <w:pageBreakBefore w:val="0"/>
        <w:kinsoku/>
        <w:overflowPunct/>
        <w:bidi w:val="0"/>
        <w:spacing w:line="360" w:lineRule="auto"/>
        <w:ind w:firstLine="480" w:firstLineChars="200"/>
        <w:rPr>
          <w:color w:val="auto"/>
          <w:highlight w:val="none"/>
        </w:rPr>
      </w:pPr>
      <w:bookmarkStart w:id="186" w:name="_Toc217446062"/>
      <w:r>
        <w:rPr>
          <w:rFonts w:hint="eastAsia"/>
          <w:color w:val="auto"/>
          <w:highlight w:val="none"/>
        </w:rPr>
        <w:t>6.2. 定标程序</w:t>
      </w:r>
      <w:bookmarkEnd w:id="186"/>
    </w:p>
    <w:p w14:paraId="796AB390">
      <w:pPr>
        <w:keepLines w:val="0"/>
        <w:pageBreakBefore w:val="0"/>
        <w:kinsoku/>
        <w:overflowPunct/>
        <w:bidi w:val="0"/>
        <w:spacing w:line="360" w:lineRule="auto"/>
        <w:ind w:firstLine="480" w:firstLineChars="200"/>
        <w:rPr>
          <w:color w:val="auto"/>
          <w:highlight w:val="none"/>
        </w:rPr>
      </w:pPr>
      <w:r>
        <w:rPr>
          <w:rFonts w:hint="eastAsia"/>
          <w:color w:val="auto"/>
          <w:highlight w:val="none"/>
        </w:rPr>
        <w:t>6.2.1 评标委员会将评标情况写出书面报告，推荐中标候选供应商。</w:t>
      </w:r>
    </w:p>
    <w:p w14:paraId="7E803011">
      <w:pPr>
        <w:keepLines w:val="0"/>
        <w:pageBreakBefore w:val="0"/>
        <w:kinsoku/>
        <w:overflowPunct/>
        <w:bidi w:val="0"/>
        <w:spacing w:line="360" w:lineRule="auto"/>
        <w:ind w:firstLine="480" w:firstLineChars="200"/>
        <w:rPr>
          <w:color w:val="auto"/>
          <w:highlight w:val="none"/>
        </w:rPr>
      </w:pPr>
      <w:r>
        <w:rPr>
          <w:rFonts w:hint="eastAsia"/>
          <w:color w:val="auto"/>
          <w:highlight w:val="none"/>
        </w:rPr>
        <w:t>6.2.2 采购代理机构在评标结束之日起2个工作日内将评标报告送采购人。</w:t>
      </w:r>
    </w:p>
    <w:p w14:paraId="1281DB67">
      <w:pPr>
        <w:keepLines w:val="0"/>
        <w:pageBreakBefore w:val="0"/>
        <w:kinsoku/>
        <w:overflowPunct/>
        <w:bidi w:val="0"/>
        <w:spacing w:line="360" w:lineRule="auto"/>
        <w:ind w:firstLine="480" w:firstLineChars="200"/>
        <w:rPr>
          <w:color w:val="auto"/>
          <w:highlight w:val="none"/>
        </w:rPr>
      </w:pPr>
      <w:r>
        <w:rPr>
          <w:rFonts w:hint="eastAsia"/>
          <w:color w:val="auto"/>
          <w:highlight w:val="none"/>
        </w:rPr>
        <w:t>6.2.3 采购人在收到评标报告之日起5个工作日内，按供应商评审得分从高到低顺序排列。响应文件满足</w:t>
      </w:r>
      <w:r>
        <w:rPr>
          <w:rFonts w:hint="eastAsia"/>
          <w:color w:val="auto"/>
          <w:highlight w:val="none"/>
          <w:lang w:val="en-US" w:eastAsia="zh-CN"/>
        </w:rPr>
        <w:t>招标</w:t>
      </w:r>
      <w:r>
        <w:rPr>
          <w:rFonts w:hint="eastAsia"/>
          <w:color w:val="auto"/>
          <w:highlight w:val="none"/>
        </w:rPr>
        <w:t xml:space="preserve">文件全部实质性要求，且按照评审因素的量化指标评审得分最高的供应商为排名第一的成交候选供应商。评审得分相同的，按最后报价由低到高顺序排列。评审得分且最后报价相同的，按照技术指标优劣（本项目的技术指标为： </w:t>
      </w:r>
      <w:r>
        <w:rPr>
          <w:rFonts w:hint="eastAsia" w:ascii="宋体" w:hAnsi="宋体" w:eastAsia="宋体" w:cs="宋体"/>
          <w:snapToGrid/>
          <w:sz w:val="24"/>
          <w:szCs w:val="24"/>
        </w:rPr>
        <w:t>项目进度计划</w:t>
      </w:r>
      <w:r>
        <w:rPr>
          <w:rFonts w:hint="eastAsia"/>
          <w:color w:val="auto"/>
          <w:highlight w:val="none"/>
        </w:rPr>
        <w:t xml:space="preserve"> ，按照技术指标得分确定优劣）顺序排列；评审得分且最后报价且技术指标得分均相同的，按供应商提供的经评审认定有效的优先采购产品认证证书数量由多到少顺序排列；评审得分且最后报价且技术指标且提供的经评审认定有效的优先采购产品认证证书数量相同的并列。供应商响应的产品同时具有节能产品认证证书、环境标志产品认证证书的，按认定有效的节能产品认证证书、环境标志产品认证证书数量累计计算。成交候选供应商并列的，由</w:t>
      </w:r>
      <w:r>
        <w:rPr>
          <w:rFonts w:hint="eastAsia"/>
          <w:color w:val="auto"/>
          <w:highlight w:val="none"/>
          <w:lang w:val="en-US" w:eastAsia="zh-CN"/>
        </w:rPr>
        <w:t>评审委员会</w:t>
      </w:r>
      <w:r>
        <w:rPr>
          <w:rFonts w:hint="eastAsia"/>
          <w:color w:val="auto"/>
          <w:highlight w:val="none"/>
        </w:rPr>
        <w:t>根据</w:t>
      </w:r>
      <w:r>
        <w:rPr>
          <w:rFonts w:hint="eastAsia"/>
          <w:color w:val="auto"/>
          <w:highlight w:val="none"/>
          <w:lang w:val="en-US" w:eastAsia="zh-CN"/>
        </w:rPr>
        <w:t>招标</w:t>
      </w:r>
      <w:r>
        <w:rPr>
          <w:rFonts w:hint="eastAsia"/>
          <w:color w:val="auto"/>
          <w:highlight w:val="none"/>
        </w:rPr>
        <w:t>文件规定的推荐成交候选供应商数量，在排名并列的成交候选供应商中，采取随机抽取的方式确定成交候选供应商排名顺序。</w:t>
      </w:r>
    </w:p>
    <w:p w14:paraId="0913BA75">
      <w:pPr>
        <w:keepLines w:val="0"/>
        <w:pageBreakBefore w:val="0"/>
        <w:kinsoku/>
        <w:overflowPunct/>
        <w:bidi w:val="0"/>
        <w:spacing w:line="360" w:lineRule="auto"/>
        <w:ind w:firstLine="482" w:firstLineChars="200"/>
        <w:rPr>
          <w:b/>
          <w:color w:val="auto"/>
          <w:highlight w:val="none"/>
        </w:rPr>
      </w:pPr>
      <w:r>
        <w:rPr>
          <w:rFonts w:hint="eastAsia"/>
          <w:b/>
          <w:color w:val="auto"/>
          <w:highlight w:val="none"/>
        </w:rPr>
        <w:t>6.2.4 中标公告期限为1个工作日。</w:t>
      </w:r>
    </w:p>
    <w:p w14:paraId="36C02B52">
      <w:pPr>
        <w:keepLines w:val="0"/>
        <w:pageBreakBefore w:val="0"/>
        <w:kinsoku/>
        <w:overflowPunct/>
        <w:bidi w:val="0"/>
        <w:spacing w:line="360" w:lineRule="auto"/>
        <w:ind w:firstLine="480" w:firstLineChars="200"/>
        <w:rPr>
          <w:color w:val="auto"/>
          <w:highlight w:val="none"/>
        </w:rPr>
      </w:pPr>
      <w:r>
        <w:rPr>
          <w:rFonts w:hint="eastAsia"/>
          <w:color w:val="auto"/>
          <w:highlight w:val="none"/>
        </w:rPr>
        <w:t>6.2.5 根据采购人确定的中标供应商，采购代理机构在</w:t>
      </w:r>
      <w:r>
        <w:rPr>
          <w:rFonts w:hint="eastAsia" w:ascii="宋体" w:hAnsi="宋体" w:cs="宋体"/>
          <w:b w:val="0"/>
          <w:bCs w:val="0"/>
          <w:color w:val="auto"/>
          <w:sz w:val="24"/>
          <w:highlight w:val="none"/>
          <w:lang w:eastAsia="zh-CN"/>
        </w:rPr>
        <w:t>“中国政府采购网”</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eastAsia="zh-CN"/>
        </w:rPr>
        <w:t>http://www.ccgp.gov.cn/</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和</w:t>
      </w:r>
      <w:r>
        <w:rPr>
          <w:rFonts w:hint="eastAsia" w:ascii="宋体" w:hAnsi="宋体" w:eastAsia="宋体" w:cs="宋体"/>
          <w:b w:val="0"/>
          <w:bCs w:val="0"/>
          <w:color w:val="000000"/>
          <w:sz w:val="24"/>
          <w:szCs w:val="28"/>
          <w:highlight w:val="none"/>
          <w:lang w:val="en-US" w:eastAsia="zh-CN"/>
        </w:rPr>
        <w:t>“四川联采招汇电子招标采购平台”(网址:http://www.sclczb.cn/)</w:t>
      </w:r>
      <w:r>
        <w:rPr>
          <w:rFonts w:hint="eastAsia"/>
          <w:color w:val="auto"/>
          <w:highlight w:val="none"/>
        </w:rPr>
        <w:t>上发布中标公告，并自采购人确定中标之日起2个工作日内向中标供应商发出中标通知书。</w:t>
      </w:r>
    </w:p>
    <w:p w14:paraId="1039401C">
      <w:pPr>
        <w:keepLines w:val="0"/>
        <w:pageBreakBefore w:val="0"/>
        <w:kinsoku/>
        <w:overflowPunct/>
        <w:bidi w:val="0"/>
        <w:spacing w:line="360" w:lineRule="auto"/>
        <w:ind w:firstLine="480" w:firstLineChars="200"/>
        <w:rPr>
          <w:color w:val="auto"/>
          <w:highlight w:val="none"/>
        </w:rPr>
      </w:pPr>
      <w:r>
        <w:rPr>
          <w:rFonts w:hint="eastAsia"/>
          <w:color w:val="auto"/>
          <w:highlight w:val="none"/>
        </w:rPr>
        <w:t>6.2.6 招标采购单位不退回投标人投标文件和其他投标资料。</w:t>
      </w:r>
    </w:p>
    <w:p w14:paraId="18C0A3F1">
      <w:pPr>
        <w:pStyle w:val="4"/>
        <w:keepLines w:val="0"/>
        <w:pageBreakBefore w:val="0"/>
        <w:kinsoku/>
        <w:overflowPunct/>
        <w:bidi w:val="0"/>
        <w:spacing w:line="360" w:lineRule="auto"/>
        <w:rPr>
          <w:color w:val="auto"/>
          <w:highlight w:val="none"/>
        </w:rPr>
      </w:pPr>
      <w:bookmarkStart w:id="187" w:name="_Toc217446105"/>
      <w:bookmarkStart w:id="188" w:name="_Toc183682432"/>
      <w:bookmarkStart w:id="189" w:name="_Toc183582297"/>
      <w:bookmarkStart w:id="190" w:name="_Toc208849022"/>
      <w:r>
        <w:rPr>
          <w:rFonts w:hint="eastAsia"/>
          <w:color w:val="auto"/>
          <w:highlight w:val="none"/>
        </w:rPr>
        <w:t xml:space="preserve">7. </w:t>
      </w:r>
      <w:bookmarkEnd w:id="187"/>
      <w:bookmarkEnd w:id="188"/>
      <w:bookmarkEnd w:id="189"/>
      <w:bookmarkEnd w:id="190"/>
      <w:r>
        <w:rPr>
          <w:rFonts w:hint="eastAsia"/>
          <w:color w:val="auto"/>
          <w:highlight w:val="none"/>
        </w:rPr>
        <w:t>评标专家在政府采购活动中承担以下义务：</w:t>
      </w:r>
    </w:p>
    <w:p w14:paraId="56557D8B">
      <w:pPr>
        <w:keepLines w:val="0"/>
        <w:pageBreakBefore w:val="0"/>
        <w:kinsoku/>
        <w:overflowPunct/>
        <w:bidi w:val="0"/>
        <w:spacing w:line="360" w:lineRule="auto"/>
        <w:ind w:firstLine="480" w:firstLineChars="200"/>
        <w:rPr>
          <w:color w:val="auto"/>
          <w:highlight w:val="none"/>
        </w:rPr>
      </w:pPr>
      <w:r>
        <w:rPr>
          <w:rFonts w:hint="eastAsia"/>
          <w:color w:val="auto"/>
          <w:highlight w:val="none"/>
        </w:rPr>
        <w:t xml:space="preserve">（一）遵守评审工作纪律； </w:t>
      </w:r>
    </w:p>
    <w:p w14:paraId="3658DC6F">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（二）按照客观、公正、审慎的原则，根据采购文件规定的评审程序、评审方法和评审标准进行独立评审；</w:t>
      </w:r>
    </w:p>
    <w:p w14:paraId="416DF2CE">
      <w:pPr>
        <w:keepLines w:val="0"/>
        <w:pageBreakBefore w:val="0"/>
        <w:kinsoku/>
        <w:overflowPunct/>
        <w:bidi w:val="0"/>
        <w:spacing w:line="360" w:lineRule="auto"/>
        <w:ind w:firstLine="480" w:firstLineChars="200"/>
        <w:rPr>
          <w:color w:val="auto"/>
          <w:highlight w:val="none"/>
        </w:rPr>
      </w:pPr>
      <w:r>
        <w:rPr>
          <w:rFonts w:hint="eastAsia"/>
          <w:color w:val="auto"/>
          <w:highlight w:val="none"/>
        </w:rPr>
        <w:t>（三）不得泄露评审文件、评审情况和在评审过程中获悉的商业秘密；</w:t>
      </w:r>
    </w:p>
    <w:p w14:paraId="0D7B63CA">
      <w:pPr>
        <w:keepLines w:val="0"/>
        <w:pageBreakBefore w:val="0"/>
        <w:kinsoku/>
        <w:overflowPunct/>
        <w:bidi w:val="0"/>
        <w:spacing w:line="360" w:lineRule="auto"/>
        <w:ind w:firstLine="480" w:firstLineChars="200"/>
        <w:rPr>
          <w:color w:val="auto"/>
          <w:highlight w:val="none"/>
        </w:rPr>
      </w:pPr>
      <w:r>
        <w:rPr>
          <w:rFonts w:hint="eastAsia"/>
          <w:color w:val="auto"/>
          <w:highlight w:val="none"/>
        </w:rPr>
        <w:t>（四）及时向监督部门报告评审过程中采购组织单位向评审专家做倾向性、误导性的解释或者说明，供应商行贿、提供虚假材料或者串通、受到的非法干预情况等违法违规行为；</w:t>
      </w:r>
    </w:p>
    <w:p w14:paraId="58936C08">
      <w:pPr>
        <w:keepLines w:val="0"/>
        <w:pageBreakBefore w:val="0"/>
        <w:kinsoku/>
        <w:overflowPunct/>
        <w:bidi w:val="0"/>
        <w:spacing w:line="360" w:lineRule="auto"/>
        <w:ind w:firstLine="480" w:firstLineChars="200"/>
        <w:rPr>
          <w:color w:val="auto"/>
          <w:highlight w:val="none"/>
        </w:rPr>
      </w:pPr>
      <w:r>
        <w:rPr>
          <w:rFonts w:hint="eastAsia"/>
          <w:color w:val="auto"/>
          <w:highlight w:val="none"/>
        </w:rPr>
        <w:t>（五）发现采购文件内容违反国家有关强制性规定或者存在歧义、重大缺陷导致评审工作无法进行时，停止评审并向采购组织单位书面说明情况；</w:t>
      </w:r>
    </w:p>
    <w:p w14:paraId="2EDC3E62">
      <w:pPr>
        <w:keepLines w:val="0"/>
        <w:pageBreakBefore w:val="0"/>
        <w:kinsoku/>
        <w:overflowPunct/>
        <w:bidi w:val="0"/>
        <w:spacing w:line="360" w:lineRule="auto"/>
        <w:ind w:firstLine="480" w:firstLineChars="200"/>
        <w:rPr>
          <w:color w:val="auto"/>
          <w:highlight w:val="none"/>
        </w:rPr>
      </w:pPr>
      <w:r>
        <w:rPr>
          <w:rFonts w:hint="eastAsia"/>
          <w:color w:val="auto"/>
          <w:highlight w:val="none"/>
        </w:rPr>
        <w:t>（六）配合答复处理供应商的询问、质疑和投诉等事项；</w:t>
      </w:r>
    </w:p>
    <w:p w14:paraId="4EE5866E">
      <w:pPr>
        <w:keepLines w:val="0"/>
        <w:pageBreakBefore w:val="0"/>
        <w:kinsoku/>
        <w:overflowPunct/>
        <w:bidi w:val="0"/>
        <w:spacing w:line="360" w:lineRule="auto"/>
        <w:ind w:firstLine="480" w:firstLineChars="200"/>
        <w:rPr>
          <w:color w:val="auto"/>
          <w:highlight w:val="none"/>
        </w:rPr>
      </w:pPr>
      <w:r>
        <w:rPr>
          <w:rFonts w:hint="eastAsia"/>
          <w:color w:val="auto"/>
          <w:highlight w:val="none"/>
        </w:rPr>
        <w:t>（七）法律、法规和规章规定的其他义务。</w:t>
      </w:r>
    </w:p>
    <w:p w14:paraId="16C7F0E6">
      <w:pPr>
        <w:pStyle w:val="4"/>
        <w:keepLines w:val="0"/>
        <w:pageBreakBefore w:val="0"/>
        <w:kinsoku/>
        <w:overflowPunct/>
        <w:bidi w:val="0"/>
        <w:spacing w:line="360" w:lineRule="auto"/>
        <w:rPr>
          <w:color w:val="auto"/>
          <w:highlight w:val="none"/>
        </w:rPr>
      </w:pPr>
      <w:r>
        <w:rPr>
          <w:rFonts w:hint="eastAsia"/>
          <w:color w:val="auto"/>
          <w:highlight w:val="none"/>
        </w:rPr>
        <w:t>8.评标专家在政府采购活动中应当遵守以下工作纪律：</w:t>
      </w:r>
    </w:p>
    <w:p w14:paraId="7963A807">
      <w:pPr>
        <w:keepLines w:val="0"/>
        <w:pageBreakBefore w:val="0"/>
        <w:kinsoku/>
        <w:overflowPunct/>
        <w:bidi w:val="0"/>
        <w:spacing w:line="360" w:lineRule="auto"/>
        <w:ind w:firstLine="480" w:firstLineChars="200"/>
        <w:rPr>
          <w:color w:val="auto"/>
          <w:highlight w:val="none"/>
        </w:rPr>
      </w:pPr>
      <w:r>
        <w:rPr>
          <w:rFonts w:hint="eastAsia"/>
          <w:color w:val="auto"/>
          <w:highlight w:val="none"/>
        </w:rPr>
        <w:t xml:space="preserve">（一）遵行《中华人民共和国政府采购法》第十二条和《中华人民共和国政府采购法实施条例》第九条及其他相关法律法规规定的利害关系的政府采购项目的评审活动。发现参加了与自己有利害关系的评审活动，须主动提出回避，退出评审； </w:t>
      </w:r>
    </w:p>
    <w:p w14:paraId="6ED95A32">
      <w:pPr>
        <w:keepLines w:val="0"/>
        <w:pageBreakBefore w:val="0"/>
        <w:kinsoku/>
        <w:overflowPunct/>
        <w:bidi w:val="0"/>
        <w:spacing w:line="360" w:lineRule="auto"/>
        <w:ind w:firstLine="480" w:firstLineChars="200"/>
        <w:rPr>
          <w:color w:val="auto"/>
          <w:highlight w:val="none"/>
        </w:rPr>
      </w:pPr>
      <w:r>
        <w:rPr>
          <w:rFonts w:hint="eastAsia"/>
          <w:color w:val="auto"/>
          <w:highlight w:val="none"/>
        </w:rPr>
        <w:t>（二）评审前，应当将通讯工具或者相关电子设备交由采购组织单位统一保管。</w:t>
      </w:r>
    </w:p>
    <w:p w14:paraId="1467A7BE">
      <w:pPr>
        <w:keepLines w:val="0"/>
        <w:pageBreakBefore w:val="0"/>
        <w:kinsoku/>
        <w:overflowPunct/>
        <w:bidi w:val="0"/>
        <w:spacing w:line="360" w:lineRule="auto"/>
        <w:ind w:firstLine="480" w:firstLineChars="200"/>
        <w:rPr>
          <w:color w:val="auto"/>
          <w:highlight w:val="none"/>
        </w:rPr>
      </w:pPr>
      <w:r>
        <w:rPr>
          <w:rFonts w:hint="eastAsia"/>
          <w:color w:val="auto"/>
          <w:highlight w:val="none"/>
        </w:rPr>
        <w:t>（三）评审过程中，不得与外界联系，因发生不可预见情况，确实需要与外界联系的，应当在监督人员监督之下办理。</w:t>
      </w:r>
    </w:p>
    <w:p w14:paraId="62EC8E09">
      <w:pPr>
        <w:keepLines w:val="0"/>
        <w:pageBreakBefore w:val="0"/>
        <w:kinsoku/>
        <w:overflowPunct/>
        <w:bidi w:val="0"/>
        <w:spacing w:line="360" w:lineRule="auto"/>
        <w:ind w:firstLine="480" w:firstLineChars="200"/>
        <w:rPr>
          <w:color w:val="auto"/>
          <w:highlight w:val="none"/>
        </w:rPr>
      </w:pPr>
      <w:r>
        <w:rPr>
          <w:rFonts w:hint="eastAsia"/>
          <w:color w:val="auto"/>
          <w:highlight w:val="none"/>
        </w:rPr>
        <w:t>（四）评审过程中，不得干预或者影响正常评审工作，不得发表倾向性、引导性意见，不得修改或细化采购文件确定的评审程序、评审方法、评审因素和评审标准，不得接受供应商主动提出的澄清和解释，不得征询采购人代表的意见，不得协商评分，不得违反规定的评审格式评分和撰写评审意见，不得拒绝对自己的评审意见签字确认。</w:t>
      </w:r>
    </w:p>
    <w:p w14:paraId="6545F700">
      <w:pPr>
        <w:keepLines w:val="0"/>
        <w:pageBreakBefore w:val="0"/>
        <w:kinsoku/>
        <w:overflowPunct/>
        <w:bidi w:val="0"/>
        <w:spacing w:line="360" w:lineRule="auto"/>
        <w:ind w:firstLine="480" w:firstLineChars="200"/>
        <w:rPr>
          <w:color w:val="auto"/>
          <w:highlight w:val="none"/>
        </w:rPr>
      </w:pPr>
      <w:r>
        <w:rPr>
          <w:rFonts w:hint="eastAsia"/>
          <w:color w:val="auto"/>
          <w:highlight w:val="none"/>
        </w:rPr>
        <w:t>（五）在评审过程中和评审结束后，不得记录、复制或带走任何评审资料，除因规定的义务，不得向外界透露评审内容。</w:t>
      </w:r>
    </w:p>
    <w:p w14:paraId="4EB21AD7">
      <w:pPr>
        <w:keepLines w:val="0"/>
        <w:pageBreakBefore w:val="0"/>
        <w:kinsoku/>
        <w:overflowPunct/>
        <w:bidi w:val="0"/>
        <w:spacing w:line="360" w:lineRule="auto"/>
        <w:ind w:firstLine="480" w:firstLineChars="200"/>
        <w:rPr>
          <w:color w:val="auto"/>
          <w:highlight w:val="none"/>
        </w:rPr>
      </w:pPr>
      <w:r>
        <w:rPr>
          <w:rFonts w:hint="eastAsia"/>
          <w:color w:val="auto"/>
          <w:highlight w:val="none"/>
        </w:rPr>
        <w:t>（六）服从评审现场采购组织单位的现场秩序管理，接受评审现场监督人员的合法监督。</w:t>
      </w:r>
    </w:p>
    <w:p w14:paraId="6A634DD0">
      <w:pPr>
        <w:keepLines w:val="0"/>
        <w:pageBreakBefore w:val="0"/>
        <w:kinsoku/>
        <w:overflowPunct/>
        <w:bidi w:val="0"/>
        <w:spacing w:line="360" w:lineRule="auto"/>
        <w:ind w:firstLine="480" w:firstLineChars="200"/>
        <w:rPr>
          <w:color w:val="auto"/>
          <w:highlight w:val="none"/>
        </w:rPr>
      </w:pPr>
      <w:r>
        <w:rPr>
          <w:rFonts w:hint="eastAsia"/>
          <w:color w:val="auto"/>
          <w:highlight w:val="none"/>
        </w:rPr>
        <w:t>（七）遵守有关廉洁自律规定，不得私下接触供应商，不得收受供应商及有关业务单位和个人的财物或好处，不得接受采购组织单位的请托。</w:t>
      </w:r>
    </w:p>
    <w:p w14:paraId="5DE6F3AE">
      <w:pPr>
        <w:keepLines w:val="0"/>
        <w:pageBreakBefore w:val="0"/>
        <w:kinsoku/>
        <w:overflowPunct/>
        <w:bidi w:val="0"/>
        <w:spacing w:line="360" w:lineRule="auto"/>
        <w:ind w:firstLine="480" w:firstLineChars="200"/>
        <w:rPr>
          <w:color w:val="auto"/>
          <w:highlight w:val="none"/>
        </w:rPr>
      </w:pPr>
      <w:r>
        <w:rPr>
          <w:rFonts w:hint="eastAsia"/>
          <w:color w:val="auto"/>
          <w:highlight w:val="none"/>
        </w:rPr>
        <w:t>（八）评标委员会成员应遵守有关法律法规，严守有关保密规定和评标纪律，并在评标前书面签署承诺书。</w:t>
      </w:r>
    </w:p>
    <w:p w14:paraId="2580A351">
      <w:pPr>
        <w:keepLines w:val="0"/>
        <w:pageBreakBefore w:val="0"/>
        <w:kinsoku/>
        <w:overflowPunct/>
        <w:bidi w:val="0"/>
        <w:spacing w:line="360" w:lineRule="auto"/>
        <w:ind w:firstLine="480" w:firstLineChars="200"/>
        <w:rPr>
          <w:color w:val="auto"/>
          <w:highlight w:val="none"/>
        </w:rPr>
      </w:pPr>
      <w:r>
        <w:rPr>
          <w:rFonts w:hint="eastAsia"/>
          <w:color w:val="auto"/>
          <w:highlight w:val="none"/>
        </w:rPr>
        <w:t>（九）评标委员会成员在评标过程中不得擅离职守。</w:t>
      </w:r>
    </w:p>
    <w:p w14:paraId="064A89A3">
      <w:pPr>
        <w:keepLines w:val="0"/>
        <w:pageBreakBefore w:val="0"/>
        <w:kinsoku/>
        <w:overflowPunct/>
        <w:bidi w:val="0"/>
        <w:spacing w:line="360" w:lineRule="auto"/>
        <w:ind w:firstLine="480" w:firstLineChars="200"/>
        <w:rPr>
          <w:rFonts w:hint="eastAsia"/>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26" w:charSpace="0"/>
        </w:sectPr>
      </w:pPr>
      <w:r>
        <w:rPr>
          <w:rFonts w:hint="eastAsia"/>
          <w:color w:val="auto"/>
          <w:highlight w:val="none"/>
        </w:rPr>
        <w:t>（十）评标委员会成员按规定领取评审劳务报酬，并按国家相关规定完成所得税的申报缴纳。</w:t>
      </w:r>
    </w:p>
    <w:p w14:paraId="5BDBFAC0">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91" w:name="_Toc17147"/>
      <w:bookmarkStart w:id="192" w:name="_Toc19775"/>
      <w:bookmarkStart w:id="193" w:name="_Toc5934"/>
      <w:r>
        <w:rPr>
          <w:rFonts w:hint="eastAsia" w:ascii="Cambria" w:hAnsi="Cambria" w:eastAsia="宋体" w:cs="Times New Roman"/>
          <w:b/>
          <w:bCs/>
          <w:color w:val="auto"/>
          <w:kern w:val="32"/>
          <w:sz w:val="32"/>
          <w:szCs w:val="32"/>
          <w:highlight w:val="none"/>
          <w:lang w:val="en-US" w:eastAsia="zh-CN" w:bidi="ar-SA"/>
        </w:rPr>
        <w:t xml:space="preserve">第八章 </w:t>
      </w:r>
      <w:bookmarkEnd w:id="191"/>
      <w:bookmarkEnd w:id="192"/>
      <w:bookmarkStart w:id="194" w:name="_Toc30589"/>
      <w:bookmarkStart w:id="195" w:name="_Toc15803"/>
      <w:r>
        <w:rPr>
          <w:rFonts w:hint="eastAsia" w:ascii="Cambria" w:hAnsi="Cambria" w:eastAsia="宋体" w:cs="Times New Roman"/>
          <w:b/>
          <w:bCs/>
          <w:color w:val="auto"/>
          <w:kern w:val="32"/>
          <w:sz w:val="32"/>
          <w:szCs w:val="32"/>
          <w:highlight w:val="none"/>
          <w:lang w:val="en-US" w:eastAsia="zh-CN" w:bidi="ar-SA"/>
        </w:rPr>
        <w:t>政府采购合同（草案</w:t>
      </w:r>
      <w:r>
        <w:rPr>
          <w:rFonts w:hint="eastAsia" w:cs="Times New Roman"/>
          <w:b/>
          <w:bCs/>
          <w:color w:val="auto"/>
          <w:kern w:val="32"/>
          <w:sz w:val="32"/>
          <w:szCs w:val="32"/>
          <w:highlight w:val="none"/>
          <w:lang w:val="en-US" w:eastAsia="zh-CN" w:bidi="ar-SA"/>
        </w:rPr>
        <w:t>，仅供参考</w:t>
      </w:r>
      <w:r>
        <w:rPr>
          <w:rFonts w:hint="eastAsia" w:ascii="Cambria" w:hAnsi="Cambria" w:eastAsia="宋体" w:cs="Times New Roman"/>
          <w:b/>
          <w:bCs/>
          <w:color w:val="auto"/>
          <w:kern w:val="32"/>
          <w:sz w:val="32"/>
          <w:szCs w:val="32"/>
          <w:highlight w:val="none"/>
          <w:lang w:val="en-US" w:eastAsia="zh-CN" w:bidi="ar-SA"/>
        </w:rPr>
        <w:t>）</w:t>
      </w:r>
    </w:p>
    <w:bookmarkEnd w:id="193"/>
    <w:bookmarkEnd w:id="194"/>
    <w:bookmarkEnd w:id="195"/>
    <w:p w14:paraId="659723CE">
      <w:pPr>
        <w:pStyle w:val="18"/>
        <w:spacing w:before="116" w:line="374" w:lineRule="auto"/>
        <w:ind w:left="0" w:leftChars="0" w:right="6566" w:firstLine="0" w:firstLineChars="0"/>
      </w:pPr>
      <w:r>
        <w:rPr>
          <w:spacing w:val="-1"/>
        </w:rPr>
        <w:t>合同编号</w:t>
      </w:r>
      <w:r>
        <w:t>：XXXX。</w:t>
      </w:r>
      <w:r>
        <w:rPr>
          <w:spacing w:val="-2"/>
        </w:rPr>
        <w:t>签订地点：XXXX</w:t>
      </w:r>
      <w:r>
        <w:rPr>
          <w:spacing w:val="-1"/>
        </w:rPr>
        <w:t>。</w:t>
      </w:r>
    </w:p>
    <w:p w14:paraId="0D92CB50">
      <w:pPr>
        <w:pStyle w:val="18"/>
        <w:spacing w:before="1" w:line="374" w:lineRule="auto"/>
        <w:ind w:left="0" w:leftChars="0" w:right="5066" w:firstLine="0" w:firstLineChars="0"/>
        <w:rPr>
          <w:spacing w:val="-2"/>
        </w:rPr>
      </w:pPr>
      <w:r>
        <w:rPr>
          <w:spacing w:val="-2"/>
        </w:rPr>
        <w:t>签订时间：XXXX 年 XX 月 XX</w:t>
      </w:r>
      <w:r>
        <w:rPr>
          <w:rFonts w:hint="eastAsia"/>
          <w:spacing w:val="-2"/>
          <w:lang w:val="en-US" w:eastAsia="zh-CN"/>
        </w:rPr>
        <w:t>日</w:t>
      </w:r>
      <w:r>
        <w:rPr>
          <w:spacing w:val="-2"/>
        </w:rPr>
        <w:t xml:space="preserve"> </w:t>
      </w:r>
    </w:p>
    <w:p w14:paraId="4882E96A">
      <w:pPr>
        <w:pStyle w:val="18"/>
        <w:spacing w:before="1" w:line="374" w:lineRule="auto"/>
        <w:ind w:left="0" w:leftChars="0" w:right="5066" w:firstLine="0" w:firstLineChars="0"/>
      </w:pPr>
      <w:r>
        <w:rPr>
          <w:spacing w:val="-2"/>
        </w:rPr>
        <w:t>采</w:t>
      </w:r>
      <w:r>
        <w:t>购人（甲方）：</w:t>
      </w:r>
    </w:p>
    <w:p w14:paraId="0491CC6A">
      <w:pPr>
        <w:pStyle w:val="18"/>
        <w:spacing w:before="0"/>
        <w:ind w:left="0" w:leftChars="0" w:firstLine="0" w:firstLineChars="0"/>
      </w:pPr>
      <w:r>
        <w:rPr>
          <w:rFonts w:hint="eastAsia"/>
          <w:lang w:eastAsia="zh-CN"/>
        </w:rPr>
        <w:t>投标人</w:t>
      </w:r>
      <w:r>
        <w:t>（乙方）：</w:t>
      </w:r>
    </w:p>
    <w:p w14:paraId="55070173">
      <w:pPr>
        <w:pStyle w:val="18"/>
        <w:spacing w:before="12"/>
        <w:ind w:left="0"/>
        <w:rPr>
          <w:sz w:val="26"/>
        </w:rPr>
      </w:pPr>
    </w:p>
    <w:p w14:paraId="3C6CCC38">
      <w:pPr>
        <w:pStyle w:val="18"/>
        <w:spacing w:before="0" w:line="374" w:lineRule="auto"/>
        <w:ind w:left="0" w:leftChars="0" w:right="658" w:firstLine="0" w:firstLineChars="0"/>
        <w:jc w:val="both"/>
      </w:pPr>
      <w:r>
        <w:t>根据《中华人民共和国政府采购法》、《中华人民共和国民法典》及 XXXX</w:t>
      </w:r>
      <w:r>
        <w:rPr>
          <w:spacing w:val="-117"/>
        </w:rPr>
        <w:t xml:space="preserve"> </w:t>
      </w:r>
      <w:r>
        <w:rPr>
          <w:spacing w:val="-3"/>
        </w:rPr>
        <w:t>采购项目（项目编号：XX）的《招标文件》、乙方的《投标文件》及《中标通知书》，甲、乙双方同意签订本合同。详细技术说明及其他有关合同项目的特定信息由合同附件予以说明，合同附件及本项目的招标文件、投标文件、《中标通知</w:t>
      </w:r>
      <w:r>
        <w:t>书》等均为本合同不可分割的部分。双方同意共同遵守如下条款：</w:t>
      </w:r>
    </w:p>
    <w:p w14:paraId="18D79D20">
      <w:pPr>
        <w:pStyle w:val="18"/>
        <w:spacing w:before="2" w:after="27"/>
        <w:ind w:left="0" w:leftChars="0" w:firstLine="0" w:firstLineChars="0"/>
        <w:outlineLvl w:val="1"/>
      </w:pPr>
      <w:bookmarkStart w:id="196" w:name="一、合同货物"/>
      <w:bookmarkEnd w:id="196"/>
      <w:r>
        <w:t>一、合同货物</w:t>
      </w:r>
    </w:p>
    <w:tbl>
      <w:tblPr>
        <w:tblStyle w:val="48"/>
        <w:tblW w:w="90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4"/>
        <w:gridCol w:w="1048"/>
        <w:gridCol w:w="718"/>
        <w:gridCol w:w="898"/>
        <w:gridCol w:w="1078"/>
        <w:gridCol w:w="1183"/>
        <w:gridCol w:w="1257"/>
        <w:gridCol w:w="1258"/>
      </w:tblGrid>
      <w:tr w14:paraId="1880F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trPr>
        <w:tc>
          <w:tcPr>
            <w:tcW w:w="1574" w:type="dxa"/>
          </w:tcPr>
          <w:p w14:paraId="0EB6989F">
            <w:pPr>
              <w:pStyle w:val="76"/>
              <w:rPr>
                <w:sz w:val="24"/>
              </w:rPr>
            </w:pPr>
          </w:p>
          <w:p w14:paraId="7741A53C">
            <w:pPr>
              <w:pStyle w:val="76"/>
              <w:spacing w:before="9"/>
              <w:rPr>
                <w:sz w:val="24"/>
              </w:rPr>
            </w:pPr>
          </w:p>
          <w:p w14:paraId="0F1F8A55">
            <w:pPr>
              <w:pStyle w:val="76"/>
              <w:ind w:left="107"/>
              <w:rPr>
                <w:sz w:val="24"/>
              </w:rPr>
            </w:pPr>
            <w:r>
              <w:rPr>
                <w:sz w:val="24"/>
              </w:rPr>
              <w:t>货物品名</w:t>
            </w:r>
          </w:p>
        </w:tc>
        <w:tc>
          <w:tcPr>
            <w:tcW w:w="1048" w:type="dxa"/>
          </w:tcPr>
          <w:p w14:paraId="710B62E0">
            <w:pPr>
              <w:pStyle w:val="76"/>
              <w:rPr>
                <w:sz w:val="30"/>
              </w:rPr>
            </w:pPr>
          </w:p>
          <w:p w14:paraId="4C8278A4">
            <w:pPr>
              <w:pStyle w:val="76"/>
              <w:spacing w:line="374" w:lineRule="auto"/>
              <w:ind w:left="108" w:right="389"/>
              <w:rPr>
                <w:sz w:val="24"/>
              </w:rPr>
            </w:pPr>
            <w:r>
              <w:rPr>
                <w:spacing w:val="-2"/>
                <w:sz w:val="24"/>
              </w:rPr>
              <w:t>规格型号</w:t>
            </w:r>
          </w:p>
        </w:tc>
        <w:tc>
          <w:tcPr>
            <w:tcW w:w="718" w:type="dxa"/>
          </w:tcPr>
          <w:p w14:paraId="5CD6989B">
            <w:pPr>
              <w:pStyle w:val="76"/>
              <w:rPr>
                <w:sz w:val="30"/>
              </w:rPr>
            </w:pPr>
          </w:p>
          <w:p w14:paraId="216CD894">
            <w:pPr>
              <w:pStyle w:val="76"/>
              <w:spacing w:line="374" w:lineRule="auto"/>
              <w:ind w:left="107" w:right="319"/>
              <w:rPr>
                <w:sz w:val="24"/>
              </w:rPr>
            </w:pPr>
            <w:r>
              <w:rPr>
                <w:sz w:val="24"/>
              </w:rPr>
              <w:t>单位</w:t>
            </w:r>
          </w:p>
        </w:tc>
        <w:tc>
          <w:tcPr>
            <w:tcW w:w="898" w:type="dxa"/>
          </w:tcPr>
          <w:p w14:paraId="435FE622">
            <w:pPr>
              <w:pStyle w:val="76"/>
              <w:rPr>
                <w:sz w:val="24"/>
              </w:rPr>
            </w:pPr>
          </w:p>
          <w:p w14:paraId="6C7EC843">
            <w:pPr>
              <w:pStyle w:val="76"/>
              <w:spacing w:before="9"/>
              <w:rPr>
                <w:sz w:val="24"/>
              </w:rPr>
            </w:pPr>
          </w:p>
          <w:p w14:paraId="3327477C">
            <w:pPr>
              <w:pStyle w:val="76"/>
              <w:ind w:left="107"/>
              <w:rPr>
                <w:sz w:val="24"/>
              </w:rPr>
            </w:pPr>
            <w:r>
              <w:rPr>
                <w:sz w:val="24"/>
              </w:rPr>
              <w:t>数量</w:t>
            </w:r>
          </w:p>
        </w:tc>
        <w:tc>
          <w:tcPr>
            <w:tcW w:w="1078" w:type="dxa"/>
          </w:tcPr>
          <w:p w14:paraId="319DDF3F">
            <w:pPr>
              <w:pStyle w:val="76"/>
              <w:spacing w:before="144"/>
              <w:ind w:left="108"/>
              <w:rPr>
                <w:sz w:val="24"/>
              </w:rPr>
            </w:pPr>
            <w:r>
              <w:rPr>
                <w:sz w:val="24"/>
              </w:rPr>
              <w:t>单价</w:t>
            </w:r>
          </w:p>
          <w:p w14:paraId="2AD0A2C0">
            <w:pPr>
              <w:pStyle w:val="76"/>
              <w:tabs>
                <w:tab w:val="left" w:pos="672"/>
              </w:tabs>
              <w:spacing w:line="480" w:lineRule="atLeast"/>
              <w:ind w:left="108" w:right="94"/>
              <w:rPr>
                <w:sz w:val="24"/>
              </w:rPr>
            </w:pPr>
            <w:r>
              <w:rPr>
                <w:sz w:val="24"/>
              </w:rPr>
              <w:t>（</w:t>
            </w:r>
            <w:r>
              <w:rPr>
                <w:sz w:val="24"/>
              </w:rPr>
              <w:tab/>
            </w:r>
            <w:r>
              <w:rPr>
                <w:spacing w:val="-4"/>
                <w:sz w:val="24"/>
              </w:rPr>
              <w:t>万</w:t>
            </w:r>
            <w:r>
              <w:rPr>
                <w:sz w:val="24"/>
              </w:rPr>
              <w:t>元）</w:t>
            </w:r>
          </w:p>
        </w:tc>
        <w:tc>
          <w:tcPr>
            <w:tcW w:w="1183" w:type="dxa"/>
          </w:tcPr>
          <w:p w14:paraId="0FF51131">
            <w:pPr>
              <w:pStyle w:val="76"/>
              <w:rPr>
                <w:sz w:val="30"/>
              </w:rPr>
            </w:pPr>
          </w:p>
          <w:p w14:paraId="6E829A41">
            <w:pPr>
              <w:pStyle w:val="76"/>
              <w:ind w:left="106"/>
              <w:rPr>
                <w:sz w:val="24"/>
              </w:rPr>
            </w:pPr>
            <w:r>
              <w:rPr>
                <w:sz w:val="24"/>
              </w:rPr>
              <w:t>总价</w:t>
            </w:r>
          </w:p>
          <w:p w14:paraId="62B7E64B">
            <w:pPr>
              <w:pStyle w:val="76"/>
              <w:spacing w:before="173"/>
              <w:ind w:left="106"/>
              <w:rPr>
                <w:sz w:val="24"/>
              </w:rPr>
            </w:pPr>
            <w:r>
              <w:rPr>
                <w:sz w:val="24"/>
              </w:rPr>
              <w:t>（万元）</w:t>
            </w:r>
          </w:p>
        </w:tc>
        <w:tc>
          <w:tcPr>
            <w:tcW w:w="1257" w:type="dxa"/>
          </w:tcPr>
          <w:p w14:paraId="238B1222">
            <w:pPr>
              <w:pStyle w:val="76"/>
              <w:rPr>
                <w:sz w:val="30"/>
              </w:rPr>
            </w:pPr>
          </w:p>
          <w:p w14:paraId="5208C2D4">
            <w:pPr>
              <w:pStyle w:val="76"/>
              <w:spacing w:line="374" w:lineRule="auto"/>
              <w:ind w:left="107" w:right="588"/>
              <w:rPr>
                <w:sz w:val="24"/>
              </w:rPr>
            </w:pPr>
            <w:r>
              <w:rPr>
                <w:spacing w:val="-2"/>
                <w:sz w:val="24"/>
              </w:rPr>
              <w:t>随机配件</w:t>
            </w:r>
          </w:p>
        </w:tc>
        <w:tc>
          <w:tcPr>
            <w:tcW w:w="1258" w:type="dxa"/>
          </w:tcPr>
          <w:p w14:paraId="05653249">
            <w:pPr>
              <w:pStyle w:val="76"/>
              <w:rPr>
                <w:sz w:val="24"/>
              </w:rPr>
            </w:pPr>
          </w:p>
          <w:p w14:paraId="3ABC278C">
            <w:pPr>
              <w:pStyle w:val="76"/>
              <w:spacing w:before="9"/>
              <w:rPr>
                <w:sz w:val="24"/>
              </w:rPr>
            </w:pPr>
          </w:p>
          <w:p w14:paraId="66BA6B03">
            <w:pPr>
              <w:pStyle w:val="76"/>
              <w:ind w:left="107"/>
              <w:rPr>
                <w:sz w:val="24"/>
              </w:rPr>
            </w:pPr>
            <w:r>
              <w:rPr>
                <w:sz w:val="24"/>
              </w:rPr>
              <w:t>交货期</w:t>
            </w:r>
          </w:p>
        </w:tc>
      </w:tr>
      <w:tr w14:paraId="5611F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1574" w:type="dxa"/>
          </w:tcPr>
          <w:p w14:paraId="36AF2811">
            <w:pPr>
              <w:pStyle w:val="76"/>
              <w:rPr>
                <w:rFonts w:ascii="Times New Roman"/>
                <w:sz w:val="24"/>
              </w:rPr>
            </w:pPr>
          </w:p>
        </w:tc>
        <w:tc>
          <w:tcPr>
            <w:tcW w:w="1048" w:type="dxa"/>
          </w:tcPr>
          <w:p w14:paraId="5DC4FCDC">
            <w:pPr>
              <w:pStyle w:val="76"/>
              <w:rPr>
                <w:rFonts w:ascii="Times New Roman"/>
                <w:sz w:val="24"/>
              </w:rPr>
            </w:pPr>
          </w:p>
        </w:tc>
        <w:tc>
          <w:tcPr>
            <w:tcW w:w="718" w:type="dxa"/>
          </w:tcPr>
          <w:p w14:paraId="29576B41">
            <w:pPr>
              <w:pStyle w:val="76"/>
              <w:rPr>
                <w:rFonts w:ascii="Times New Roman"/>
                <w:sz w:val="24"/>
              </w:rPr>
            </w:pPr>
          </w:p>
        </w:tc>
        <w:tc>
          <w:tcPr>
            <w:tcW w:w="898" w:type="dxa"/>
          </w:tcPr>
          <w:p w14:paraId="2ECE0CB7">
            <w:pPr>
              <w:pStyle w:val="76"/>
              <w:rPr>
                <w:rFonts w:ascii="Times New Roman"/>
                <w:sz w:val="24"/>
              </w:rPr>
            </w:pPr>
          </w:p>
        </w:tc>
        <w:tc>
          <w:tcPr>
            <w:tcW w:w="1078" w:type="dxa"/>
          </w:tcPr>
          <w:p w14:paraId="62CAC63F">
            <w:pPr>
              <w:pStyle w:val="76"/>
              <w:rPr>
                <w:rFonts w:ascii="Times New Roman"/>
                <w:sz w:val="24"/>
              </w:rPr>
            </w:pPr>
          </w:p>
        </w:tc>
        <w:tc>
          <w:tcPr>
            <w:tcW w:w="1183" w:type="dxa"/>
          </w:tcPr>
          <w:p w14:paraId="26E9700A">
            <w:pPr>
              <w:pStyle w:val="76"/>
              <w:rPr>
                <w:rFonts w:ascii="Times New Roman"/>
                <w:sz w:val="24"/>
              </w:rPr>
            </w:pPr>
          </w:p>
        </w:tc>
        <w:tc>
          <w:tcPr>
            <w:tcW w:w="1257" w:type="dxa"/>
          </w:tcPr>
          <w:p w14:paraId="1EB559A5">
            <w:pPr>
              <w:pStyle w:val="76"/>
              <w:rPr>
                <w:rFonts w:ascii="Times New Roman"/>
                <w:sz w:val="24"/>
              </w:rPr>
            </w:pPr>
          </w:p>
        </w:tc>
        <w:tc>
          <w:tcPr>
            <w:tcW w:w="1258" w:type="dxa"/>
          </w:tcPr>
          <w:p w14:paraId="2B719CD3">
            <w:pPr>
              <w:pStyle w:val="76"/>
              <w:rPr>
                <w:rFonts w:ascii="Times New Roman"/>
                <w:sz w:val="24"/>
              </w:rPr>
            </w:pPr>
          </w:p>
        </w:tc>
      </w:tr>
      <w:tr w14:paraId="020B3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574" w:type="dxa"/>
          </w:tcPr>
          <w:p w14:paraId="09B1BD18">
            <w:pPr>
              <w:pStyle w:val="76"/>
              <w:rPr>
                <w:rFonts w:ascii="Times New Roman"/>
                <w:sz w:val="24"/>
              </w:rPr>
            </w:pPr>
          </w:p>
        </w:tc>
        <w:tc>
          <w:tcPr>
            <w:tcW w:w="1048" w:type="dxa"/>
          </w:tcPr>
          <w:p w14:paraId="3A8A8887">
            <w:pPr>
              <w:pStyle w:val="76"/>
              <w:rPr>
                <w:rFonts w:ascii="Times New Roman"/>
                <w:sz w:val="24"/>
              </w:rPr>
            </w:pPr>
          </w:p>
        </w:tc>
        <w:tc>
          <w:tcPr>
            <w:tcW w:w="718" w:type="dxa"/>
          </w:tcPr>
          <w:p w14:paraId="4399DAAC">
            <w:pPr>
              <w:pStyle w:val="76"/>
              <w:rPr>
                <w:rFonts w:ascii="Times New Roman"/>
                <w:sz w:val="24"/>
              </w:rPr>
            </w:pPr>
          </w:p>
        </w:tc>
        <w:tc>
          <w:tcPr>
            <w:tcW w:w="898" w:type="dxa"/>
          </w:tcPr>
          <w:p w14:paraId="4F701C4F">
            <w:pPr>
              <w:pStyle w:val="76"/>
              <w:rPr>
                <w:rFonts w:ascii="Times New Roman"/>
                <w:sz w:val="24"/>
              </w:rPr>
            </w:pPr>
          </w:p>
        </w:tc>
        <w:tc>
          <w:tcPr>
            <w:tcW w:w="1078" w:type="dxa"/>
          </w:tcPr>
          <w:p w14:paraId="708A90AD">
            <w:pPr>
              <w:pStyle w:val="76"/>
              <w:rPr>
                <w:rFonts w:ascii="Times New Roman"/>
                <w:sz w:val="24"/>
              </w:rPr>
            </w:pPr>
          </w:p>
        </w:tc>
        <w:tc>
          <w:tcPr>
            <w:tcW w:w="1183" w:type="dxa"/>
          </w:tcPr>
          <w:p w14:paraId="14F31849">
            <w:pPr>
              <w:pStyle w:val="76"/>
              <w:rPr>
                <w:rFonts w:ascii="Times New Roman"/>
                <w:sz w:val="24"/>
              </w:rPr>
            </w:pPr>
          </w:p>
        </w:tc>
        <w:tc>
          <w:tcPr>
            <w:tcW w:w="1257" w:type="dxa"/>
          </w:tcPr>
          <w:p w14:paraId="3AC3ADFD">
            <w:pPr>
              <w:pStyle w:val="76"/>
              <w:rPr>
                <w:rFonts w:ascii="Times New Roman"/>
                <w:sz w:val="24"/>
              </w:rPr>
            </w:pPr>
          </w:p>
        </w:tc>
        <w:tc>
          <w:tcPr>
            <w:tcW w:w="1258" w:type="dxa"/>
          </w:tcPr>
          <w:p w14:paraId="4905E41E">
            <w:pPr>
              <w:pStyle w:val="76"/>
              <w:rPr>
                <w:rFonts w:ascii="Times New Roman"/>
                <w:sz w:val="24"/>
              </w:rPr>
            </w:pPr>
          </w:p>
        </w:tc>
      </w:tr>
    </w:tbl>
    <w:p w14:paraId="1A59946B">
      <w:pPr>
        <w:pStyle w:val="18"/>
        <w:spacing w:before="145"/>
        <w:outlineLvl w:val="1"/>
      </w:pPr>
      <w:bookmarkStart w:id="197" w:name="二、合同总价"/>
      <w:bookmarkEnd w:id="197"/>
      <w:r>
        <w:t>二、合同总价</w:t>
      </w:r>
    </w:p>
    <w:p w14:paraId="509186D8">
      <w:pPr>
        <w:pStyle w:val="18"/>
        <w:keepNext w:val="0"/>
        <w:keepLines w:val="0"/>
        <w:pageBreakBefore w:val="0"/>
        <w:widowControl w:val="0"/>
        <w:tabs>
          <w:tab w:val="left" w:pos="5687"/>
          <w:tab w:val="left" w:pos="8015"/>
        </w:tabs>
        <w:kinsoku/>
        <w:wordWrap/>
        <w:overflowPunct/>
        <w:topLinePunct w:val="0"/>
        <w:autoSpaceDE w:val="0"/>
        <w:autoSpaceDN w:val="0"/>
        <w:bidi w:val="0"/>
        <w:adjustRightInd/>
        <w:snapToGrid/>
        <w:spacing w:before="173" w:line="374" w:lineRule="auto"/>
        <w:ind w:left="0" w:leftChars="0" w:right="0" w:firstLine="420" w:firstLineChars="200"/>
        <w:jc w:val="both"/>
      </w:pPr>
      <w:r>
        <w:t>合同总价为人民币大写：</w:t>
      </w:r>
      <w:r>
        <w:rPr>
          <w:rFonts w:hint="eastAsia"/>
          <w:u w:val="single"/>
          <w:lang w:val="en-US" w:eastAsia="zh-CN"/>
        </w:rPr>
        <w:t xml:space="preserve">    </w:t>
      </w:r>
      <w:r>
        <w:rPr>
          <w:w w:val="95"/>
        </w:rPr>
        <w:t>元，即</w:t>
      </w:r>
      <w:r>
        <w:rPr>
          <w:spacing w:val="-40"/>
          <w:w w:val="95"/>
        </w:rPr>
        <w:t xml:space="preserve"> </w:t>
      </w:r>
      <w:r>
        <w:rPr>
          <w:w w:val="95"/>
        </w:rPr>
        <w:t>RMB￥</w:t>
      </w:r>
      <w:r>
        <w:rPr>
          <w:rFonts w:ascii="Times New Roman" w:eastAsia="Times New Roman"/>
          <w:w w:val="95"/>
          <w:u w:val="single"/>
        </w:rPr>
        <w:tab/>
      </w:r>
      <w:r>
        <w:rPr>
          <w:spacing w:val="-3"/>
        </w:rPr>
        <w:t>元；该</w:t>
      </w:r>
      <w:r>
        <w:rPr>
          <w:spacing w:val="-2"/>
        </w:rPr>
        <w:t>合</w:t>
      </w:r>
      <w:r>
        <w:rPr>
          <w:spacing w:val="-3"/>
        </w:rPr>
        <w:t>同总价已包括货物设计、材料、制造、包装、运输、安装</w:t>
      </w:r>
      <w:r>
        <w:rPr>
          <w:spacing w:val="-2"/>
        </w:rPr>
        <w:t>、调试、检测、验收合</w:t>
      </w:r>
      <w:r>
        <w:t>格交付使用之前及保修期内保修服务与备用物件等等所有其他有关各项的含税</w:t>
      </w:r>
      <w:r>
        <w:rPr>
          <w:spacing w:val="-3"/>
        </w:rPr>
        <w:t>费用。本合同执行期间合同总价不变，甲方无须另向乙方</w:t>
      </w:r>
      <w:r>
        <w:rPr>
          <w:spacing w:val="-2"/>
        </w:rPr>
        <w:t>支付本合同规定之外的</w:t>
      </w:r>
      <w:r>
        <w:t>其他任何费用。</w:t>
      </w:r>
    </w:p>
    <w:p w14:paraId="4AE2CD80">
      <w:pPr>
        <w:pStyle w:val="18"/>
        <w:keepNext w:val="0"/>
        <w:keepLines w:val="0"/>
        <w:pageBreakBefore w:val="0"/>
        <w:widowControl w:val="0"/>
        <w:kinsoku/>
        <w:wordWrap/>
        <w:overflowPunct/>
        <w:topLinePunct w:val="0"/>
        <w:autoSpaceDE w:val="0"/>
        <w:autoSpaceDN w:val="0"/>
        <w:bidi w:val="0"/>
        <w:adjustRightInd/>
        <w:snapToGrid/>
        <w:spacing w:before="1"/>
        <w:ind w:left="0" w:leftChars="0" w:right="0" w:firstLine="420" w:firstLineChars="200"/>
        <w:outlineLvl w:val="1"/>
      </w:pPr>
      <w:bookmarkStart w:id="198" w:name="三、质量要求"/>
      <w:bookmarkEnd w:id="198"/>
      <w:r>
        <w:t>三、质量要求</w:t>
      </w:r>
    </w:p>
    <w:p w14:paraId="18DB336A">
      <w:pPr>
        <w:pStyle w:val="18"/>
        <w:keepNext w:val="0"/>
        <w:keepLines w:val="0"/>
        <w:pageBreakBefore w:val="0"/>
        <w:widowControl w:val="0"/>
        <w:kinsoku/>
        <w:wordWrap/>
        <w:overflowPunct/>
        <w:topLinePunct w:val="0"/>
        <w:autoSpaceDE w:val="0"/>
        <w:autoSpaceDN w:val="0"/>
        <w:bidi w:val="0"/>
        <w:adjustRightInd/>
        <w:snapToGrid/>
        <w:spacing w:before="173" w:line="374" w:lineRule="auto"/>
        <w:ind w:left="0" w:leftChars="0" w:right="0" w:firstLine="420" w:firstLineChars="200"/>
      </w:pPr>
      <w:r>
        <w:t>1、乙方须提供全新的货物（含零部件、配件等），表面无划伤、无碰撞痕迹，且权属清楚，不得侵害他人的知识产权。</w:t>
      </w:r>
    </w:p>
    <w:p w14:paraId="458EAF53">
      <w:pPr>
        <w:pStyle w:val="18"/>
        <w:keepNext w:val="0"/>
        <w:keepLines w:val="0"/>
        <w:pageBreakBefore w:val="0"/>
        <w:widowControl w:val="0"/>
        <w:kinsoku/>
        <w:wordWrap/>
        <w:overflowPunct/>
        <w:topLinePunct w:val="0"/>
        <w:autoSpaceDE w:val="0"/>
        <w:autoSpaceDN w:val="0"/>
        <w:bidi w:val="0"/>
        <w:adjustRightInd/>
        <w:snapToGrid/>
        <w:spacing w:before="47"/>
        <w:ind w:left="0" w:leftChars="0" w:right="0" w:firstLine="420" w:firstLineChars="200"/>
      </w:pPr>
      <w:r>
        <w:t>2、货物必须符合或优于国家（行业）</w:t>
      </w:r>
      <w:r>
        <w:rPr>
          <w:rFonts w:ascii="Times New Roman" w:eastAsia="Times New Roman"/>
          <w:u w:val="single"/>
        </w:rPr>
        <w:tab/>
      </w:r>
      <w:r>
        <w:t>标准，以及本项目招标文件的质量要求和技术指标与出厂标准。</w:t>
      </w:r>
    </w:p>
    <w:p w14:paraId="0357B2E9">
      <w:pPr>
        <w:pStyle w:val="18"/>
        <w:keepNext w:val="0"/>
        <w:keepLines w:val="0"/>
        <w:pageBreakBefore w:val="0"/>
        <w:widowControl w:val="0"/>
        <w:kinsoku/>
        <w:wordWrap/>
        <w:overflowPunct/>
        <w:topLinePunct w:val="0"/>
        <w:autoSpaceDE w:val="0"/>
        <w:autoSpaceDN w:val="0"/>
        <w:bidi w:val="0"/>
        <w:adjustRightInd/>
        <w:snapToGrid/>
        <w:spacing w:line="374" w:lineRule="auto"/>
        <w:ind w:left="0" w:leftChars="0" w:right="0" w:firstLine="420" w:firstLineChars="200"/>
        <w:jc w:val="both"/>
      </w:pPr>
      <w:r>
        <w:t>3、乙方须在本合同签订之日起</w:t>
      </w:r>
      <w:r>
        <w:rPr>
          <w:spacing w:val="16"/>
          <w:u w:val="single"/>
        </w:rPr>
        <w:t xml:space="preserve"> </w:t>
      </w:r>
      <w:r>
        <w:t>日内送交货物成品样品给甲方确认，在甲</w:t>
      </w:r>
      <w:r>
        <w:rPr>
          <w:spacing w:val="-3"/>
        </w:rPr>
        <w:t>方出具样品确认书并封存成品样品外观尺寸后，乙方才能按样生产，并以此样品</w:t>
      </w:r>
      <w:r>
        <w:t>作为验收样品；每台货物上均应有产品质量检验合格标志。</w:t>
      </w:r>
    </w:p>
    <w:p w14:paraId="0A207018">
      <w:pPr>
        <w:pStyle w:val="18"/>
        <w:keepNext w:val="0"/>
        <w:keepLines w:val="0"/>
        <w:pageBreakBefore w:val="0"/>
        <w:widowControl w:val="0"/>
        <w:kinsoku/>
        <w:wordWrap/>
        <w:overflowPunct/>
        <w:topLinePunct w:val="0"/>
        <w:autoSpaceDE w:val="0"/>
        <w:autoSpaceDN w:val="0"/>
        <w:bidi w:val="0"/>
        <w:adjustRightInd/>
        <w:snapToGrid/>
        <w:spacing w:before="1" w:line="374" w:lineRule="auto"/>
        <w:ind w:left="0" w:leftChars="0" w:right="0" w:firstLine="420" w:firstLineChars="200"/>
      </w:pPr>
      <w:r>
        <w:t>4、货物制造质量出现问题，乙方应负责三包（包修、包换、包退），费用由乙方负担，甲方有权到乙方生产场地检查货物质量和生产进度。</w:t>
      </w:r>
    </w:p>
    <w:p w14:paraId="0324546D">
      <w:pPr>
        <w:pStyle w:val="1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outlineLvl w:val="1"/>
      </w:pPr>
      <w:r>
        <w:t>5、货到现场后由于甲方保管不当造成的质量问题，乙方亦应负责修理，但费用由甲方负担。</w:t>
      </w:r>
    </w:p>
    <w:p w14:paraId="3E161E59">
      <w:pPr>
        <w:pStyle w:val="1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210" w:firstLineChars="100"/>
        <w:textAlignment w:val="auto"/>
        <w:outlineLvl w:val="1"/>
      </w:pPr>
      <w:r>
        <w:t>四、交货及验收</w:t>
      </w:r>
    </w:p>
    <w:p w14:paraId="2D5F5A61">
      <w:pPr>
        <w:pStyle w:val="18"/>
        <w:keepNext w:val="0"/>
        <w:keepLines w:val="0"/>
        <w:pageBreakBefore w:val="0"/>
        <w:widowControl w:val="0"/>
        <w:tabs>
          <w:tab w:val="left" w:pos="6316"/>
        </w:tabs>
        <w:kinsoku/>
        <w:wordWrap/>
        <w:overflowPunct/>
        <w:topLinePunct w:val="0"/>
        <w:autoSpaceDE w:val="0"/>
        <w:autoSpaceDN w:val="0"/>
        <w:bidi w:val="0"/>
        <w:adjustRightInd/>
        <w:snapToGrid/>
        <w:spacing w:before="1" w:line="360" w:lineRule="auto"/>
        <w:ind w:left="0" w:leftChars="0" w:right="0" w:firstLine="416" w:firstLineChars="200"/>
        <w:textAlignment w:val="auto"/>
        <w:outlineLvl w:val="2"/>
      </w:pPr>
      <w:r>
        <w:rPr>
          <w:spacing w:val="-1"/>
        </w:rPr>
        <w:t>1</w:t>
      </w:r>
      <w:r>
        <w:rPr>
          <w:spacing w:val="-13"/>
        </w:rPr>
        <w:t xml:space="preserve">、乙方交货期限为合同签订生效后的 </w:t>
      </w:r>
      <w:r>
        <w:rPr>
          <w:rFonts w:ascii="Times New Roman" w:eastAsia="Times New Roman"/>
        </w:rPr>
        <w:t>XX</w:t>
      </w:r>
      <w:r>
        <w:rPr>
          <w:rFonts w:ascii="Times New Roman" w:eastAsia="Times New Roman"/>
          <w:spacing w:val="1"/>
        </w:rPr>
        <w:t xml:space="preserve"> </w:t>
      </w:r>
      <w:r>
        <w:rPr>
          <w:spacing w:val="-13"/>
        </w:rPr>
        <w:t xml:space="preserve">日内，在合同签订生效之日起 </w:t>
      </w:r>
      <w:r>
        <w:rPr>
          <w:rFonts w:ascii="Times New Roman" w:eastAsia="Times New Roman"/>
        </w:rPr>
        <w:t>XX</w:t>
      </w:r>
      <w:r>
        <w:rPr>
          <w:rFonts w:ascii="Times New Roman" w:eastAsia="Times New Roman"/>
          <w:spacing w:val="-57"/>
        </w:rPr>
        <w:t xml:space="preserve"> </w:t>
      </w:r>
      <w:r>
        <w:rPr>
          <w:spacing w:val="-1"/>
        </w:rPr>
        <w:t xml:space="preserve">天内交货到甲方指定地点，随即在 </w:t>
      </w:r>
      <w:r>
        <w:rPr>
          <w:rFonts w:ascii="Times New Roman" w:eastAsia="Times New Roman"/>
        </w:rPr>
        <w:t>XX</w:t>
      </w:r>
      <w:r>
        <w:rPr>
          <w:rFonts w:ascii="Times New Roman" w:eastAsia="Times New Roman"/>
          <w:spacing w:val="54"/>
        </w:rPr>
        <w:t xml:space="preserve"> </w:t>
      </w:r>
      <w:r>
        <w:t>日内全部完成安装调试验收合格交付使</w:t>
      </w:r>
      <w:r>
        <w:rPr>
          <w:spacing w:val="-22"/>
        </w:rPr>
        <w:t xml:space="preserve">用，并且最迟应在 </w:t>
      </w:r>
      <w:r>
        <w:rPr>
          <w:rFonts w:ascii="Times New Roman" w:eastAsia="Times New Roman"/>
        </w:rPr>
        <w:t>XX</w:t>
      </w:r>
      <w:r>
        <w:rPr>
          <w:rFonts w:ascii="Times New Roman" w:eastAsia="Times New Roman"/>
          <w:spacing w:val="-8"/>
        </w:rPr>
        <w:t xml:space="preserve"> </w:t>
      </w:r>
      <w:r>
        <w:rPr>
          <w:spacing w:val="41"/>
        </w:rPr>
        <w:t>年</w:t>
      </w:r>
      <w:r>
        <w:rPr>
          <w:rFonts w:ascii="Times New Roman" w:eastAsia="Times New Roman"/>
        </w:rPr>
        <w:t>XX</w:t>
      </w:r>
      <w:r>
        <w:rPr>
          <w:rFonts w:ascii="Times New Roman" w:eastAsia="Times New Roman"/>
          <w:spacing w:val="-8"/>
        </w:rPr>
        <w:t xml:space="preserve"> </w:t>
      </w:r>
      <w:r>
        <w:rPr>
          <w:spacing w:val="42"/>
        </w:rPr>
        <w:t>月</w:t>
      </w:r>
      <w:r>
        <w:rPr>
          <w:rFonts w:ascii="Times New Roman" w:eastAsia="Times New Roman"/>
        </w:rPr>
        <w:t>XX</w:t>
      </w:r>
      <w:r>
        <w:rPr>
          <w:rFonts w:ascii="Times New Roman" w:eastAsia="Times New Roman"/>
          <w:spacing w:val="-8"/>
        </w:rPr>
        <w:t xml:space="preserve"> </w:t>
      </w:r>
      <w:r>
        <w:t>日前全部完成安装调试验收合格交付使用(如由于采购人的原因造成合同延迟签订或验收的，时间顺延)。交货验收时须提供产品质检部门从同类产品中抽样检查合格的检测报告。</w:t>
      </w:r>
    </w:p>
    <w:p w14:paraId="39FEA947">
      <w:pPr>
        <w:pStyle w:val="18"/>
        <w:keepNext w:val="0"/>
        <w:keepLines w:val="0"/>
        <w:pageBreakBefore w:val="0"/>
        <w:widowControl w:val="0"/>
        <w:kinsoku/>
        <w:wordWrap/>
        <w:overflowPunct/>
        <w:topLinePunct w:val="0"/>
        <w:autoSpaceDE w:val="0"/>
        <w:autoSpaceDN w:val="0"/>
        <w:bidi w:val="0"/>
        <w:adjustRightInd/>
        <w:snapToGrid/>
        <w:spacing w:before="1"/>
        <w:ind w:left="0" w:leftChars="0" w:right="0" w:firstLine="210" w:firstLineChars="100"/>
        <w:outlineLvl w:val="2"/>
      </w:pPr>
      <w:r>
        <w:t>2、验收由甲方组织，乙方配合进行：</w:t>
      </w:r>
    </w:p>
    <w:p w14:paraId="079632B9">
      <w:pPr>
        <w:pStyle w:val="130"/>
        <w:keepNext w:val="0"/>
        <w:keepLines w:val="0"/>
        <w:pageBreakBefore w:val="0"/>
        <w:widowControl w:val="0"/>
        <w:numPr>
          <w:ilvl w:val="0"/>
          <w:numId w:val="0"/>
        </w:numPr>
        <w:tabs>
          <w:tab w:val="left" w:pos="1619"/>
          <w:tab w:val="left" w:pos="1620"/>
          <w:tab w:val="left" w:pos="5459"/>
        </w:tabs>
        <w:kinsoku/>
        <w:wordWrap/>
        <w:overflowPunct/>
        <w:topLinePunct w:val="0"/>
        <w:autoSpaceDE w:val="0"/>
        <w:autoSpaceDN w:val="0"/>
        <w:bidi w:val="0"/>
        <w:adjustRightInd/>
        <w:snapToGrid/>
        <w:spacing w:before="173" w:after="0" w:line="374" w:lineRule="auto"/>
        <w:ind w:left="0" w:leftChars="0" w:right="0" w:rightChars="0"/>
        <w:jc w:val="left"/>
      </w:pPr>
      <w:r>
        <w:rPr>
          <w:rFonts w:hint="eastAsia"/>
          <w:sz w:val="24"/>
          <w:lang w:eastAsia="zh-CN"/>
        </w:rPr>
        <w:t>（</w:t>
      </w:r>
      <w:r>
        <w:rPr>
          <w:rFonts w:hint="eastAsia"/>
          <w:sz w:val="24"/>
          <w:lang w:val="en-US" w:eastAsia="zh-CN"/>
        </w:rPr>
        <w:t>1</w:t>
      </w:r>
      <w:r>
        <w:rPr>
          <w:rFonts w:hint="eastAsia"/>
          <w:sz w:val="24"/>
          <w:lang w:eastAsia="zh-CN"/>
        </w:rPr>
        <w:t>）</w:t>
      </w:r>
      <w:r>
        <w:rPr>
          <w:sz w:val="24"/>
        </w:rPr>
        <w:t>货物在乙方通知安装调试完毕后</w:t>
      </w:r>
      <w:r>
        <w:rPr>
          <w:rFonts w:ascii="Times New Roman" w:eastAsia="Times New Roman"/>
          <w:sz w:val="24"/>
          <w:u w:val="single"/>
        </w:rPr>
        <w:tab/>
      </w:r>
      <w:r>
        <w:rPr>
          <w:spacing w:val="-1"/>
          <w:sz w:val="24"/>
        </w:rPr>
        <w:t>日内初</w:t>
      </w:r>
      <w:r>
        <w:rPr>
          <w:sz w:val="24"/>
        </w:rPr>
        <w:t>步验收。初步验收合格后，</w:t>
      </w:r>
      <w:r>
        <w:rPr>
          <w:spacing w:val="-117"/>
          <w:sz w:val="24"/>
        </w:rPr>
        <w:t xml:space="preserve"> </w:t>
      </w:r>
      <w:r>
        <w:rPr>
          <w:sz w:val="24"/>
        </w:rPr>
        <w:t>进入</w:t>
      </w:r>
      <w:r>
        <w:rPr>
          <w:rFonts w:ascii="Times New Roman" w:eastAsia="Times New Roman"/>
          <w:sz w:val="24"/>
          <w:u w:val="single"/>
        </w:rPr>
        <w:tab/>
      </w:r>
      <w:r>
        <w:rPr>
          <w:spacing w:val="-1"/>
          <w:sz w:val="24"/>
        </w:rPr>
        <w:t>试用期；试用期间发生重大质量问题，修复后试用相应顺延；试</w:t>
      </w:r>
      <w:r>
        <w:rPr>
          <w:sz w:val="24"/>
        </w:rPr>
        <w:t>用期结束后</w:t>
      </w:r>
      <w:r>
        <w:rPr>
          <w:rFonts w:ascii="Times New Roman" w:eastAsia="Times New Roman"/>
          <w:sz w:val="24"/>
          <w:u w:val="single"/>
        </w:rPr>
        <w:tab/>
      </w:r>
      <w:r>
        <w:rPr>
          <w:sz w:val="24"/>
        </w:rPr>
        <w:t>日内完成最终验收；</w:t>
      </w:r>
    </w:p>
    <w:p w14:paraId="3085D290">
      <w:pPr>
        <w:pStyle w:val="130"/>
        <w:keepNext w:val="0"/>
        <w:keepLines w:val="0"/>
        <w:pageBreakBefore w:val="0"/>
        <w:widowControl w:val="0"/>
        <w:numPr>
          <w:ilvl w:val="0"/>
          <w:numId w:val="0"/>
        </w:numPr>
        <w:tabs>
          <w:tab w:val="left" w:pos="1620"/>
        </w:tabs>
        <w:kinsoku/>
        <w:wordWrap/>
        <w:overflowPunct/>
        <w:topLinePunct w:val="0"/>
        <w:autoSpaceDE w:val="0"/>
        <w:autoSpaceDN w:val="0"/>
        <w:bidi w:val="0"/>
        <w:adjustRightInd/>
        <w:snapToGrid/>
        <w:spacing w:before="1" w:after="0" w:line="374" w:lineRule="auto"/>
        <w:ind w:left="0" w:leftChars="0" w:right="0" w:rightChars="0"/>
        <w:jc w:val="left"/>
        <w:rPr>
          <w:sz w:val="24"/>
        </w:rPr>
      </w:pPr>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验收标准：按国家有关规定以及甲方招标文件的质量要求和技术指标、</w:t>
      </w:r>
      <w:r>
        <w:rPr>
          <w:spacing w:val="-5"/>
          <w:sz w:val="24"/>
        </w:rPr>
        <w:t>乙方的投标文件及承诺与本合同约定标准进行验收；甲乙双方如对质量要求和技术指标的约定标准有相互抵触或异议的事项，由甲方在招标与投标文件中按质量</w:t>
      </w:r>
      <w:r>
        <w:rPr>
          <w:sz w:val="24"/>
        </w:rPr>
        <w:t>要求和技术指标比较优胜的原则确定该项的约定标准进行验收；</w:t>
      </w:r>
    </w:p>
    <w:p w14:paraId="75F12FC4">
      <w:pPr>
        <w:pStyle w:val="130"/>
        <w:keepNext w:val="0"/>
        <w:keepLines w:val="0"/>
        <w:pageBreakBefore w:val="0"/>
        <w:widowControl w:val="0"/>
        <w:numPr>
          <w:ilvl w:val="0"/>
          <w:numId w:val="0"/>
        </w:numPr>
        <w:tabs>
          <w:tab w:val="left" w:pos="1620"/>
        </w:tabs>
        <w:kinsoku/>
        <w:wordWrap/>
        <w:overflowPunct/>
        <w:topLinePunct w:val="0"/>
        <w:autoSpaceDE w:val="0"/>
        <w:autoSpaceDN w:val="0"/>
        <w:bidi w:val="0"/>
        <w:adjustRightInd/>
        <w:snapToGrid/>
        <w:spacing w:before="1" w:after="0" w:line="374" w:lineRule="auto"/>
        <w:ind w:left="0" w:leftChars="0" w:right="0" w:rightChars="0"/>
        <w:jc w:val="both"/>
        <w:rPr>
          <w:sz w:val="24"/>
        </w:rPr>
      </w:pPr>
      <w:r>
        <w:rPr>
          <w:rFonts w:hint="eastAsia"/>
          <w:spacing w:val="-4"/>
          <w:sz w:val="24"/>
          <w:lang w:eastAsia="zh-CN"/>
        </w:rPr>
        <w:t>（</w:t>
      </w:r>
      <w:r>
        <w:rPr>
          <w:rFonts w:hint="eastAsia"/>
          <w:spacing w:val="-4"/>
          <w:sz w:val="24"/>
          <w:lang w:val="en-US" w:eastAsia="zh-CN"/>
        </w:rPr>
        <w:t>3</w:t>
      </w:r>
      <w:r>
        <w:rPr>
          <w:rFonts w:hint="eastAsia"/>
          <w:spacing w:val="-4"/>
          <w:sz w:val="24"/>
          <w:lang w:eastAsia="zh-CN"/>
        </w:rPr>
        <w:t>）</w:t>
      </w:r>
      <w:r>
        <w:rPr>
          <w:spacing w:val="-4"/>
          <w:sz w:val="24"/>
        </w:rPr>
        <w:t>验收时如发现所交付的货物有短装、次品、损坏或其它不符合标准及本</w:t>
      </w:r>
      <w:r>
        <w:rPr>
          <w:spacing w:val="-3"/>
          <w:sz w:val="24"/>
        </w:rPr>
        <w:t>合同规定之情形者，甲方应做出详尽的现场记录，或由甲乙双方签署备忘录，此现场记录或备忘录可用作补充、缺失和更换损坏部件的有效证据，由此产生的时</w:t>
      </w:r>
      <w:r>
        <w:rPr>
          <w:sz w:val="24"/>
        </w:rPr>
        <w:t>间延误与有关费用由乙方承担，验收期限相应顺延；</w:t>
      </w:r>
    </w:p>
    <w:p w14:paraId="6B49BD18">
      <w:pPr>
        <w:pStyle w:val="18"/>
        <w:keepNext w:val="0"/>
        <w:keepLines w:val="0"/>
        <w:pageBreakBefore w:val="0"/>
        <w:widowControl w:val="0"/>
        <w:tabs>
          <w:tab w:val="left" w:pos="3779"/>
        </w:tabs>
        <w:kinsoku/>
        <w:wordWrap/>
        <w:overflowPunct/>
        <w:topLinePunct w:val="0"/>
        <w:autoSpaceDE w:val="0"/>
        <w:autoSpaceDN w:val="0"/>
        <w:bidi w:val="0"/>
        <w:adjustRightInd/>
        <w:snapToGrid/>
        <w:spacing w:before="173" w:line="374" w:lineRule="auto"/>
        <w:ind w:left="0" w:leftChars="0" w:right="0" w:firstLine="0" w:firstLineChars="0"/>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如质量验收合格，双方签署质量验收报告。</w:t>
      </w:r>
    </w:p>
    <w:p w14:paraId="643A48D2">
      <w:pPr>
        <w:pStyle w:val="18"/>
        <w:keepNext w:val="0"/>
        <w:keepLines w:val="0"/>
        <w:pageBreakBefore w:val="0"/>
        <w:widowControl w:val="0"/>
        <w:tabs>
          <w:tab w:val="left" w:pos="3779"/>
        </w:tabs>
        <w:kinsoku/>
        <w:wordWrap/>
        <w:overflowPunct/>
        <w:topLinePunct w:val="0"/>
        <w:autoSpaceDE w:val="0"/>
        <w:autoSpaceDN w:val="0"/>
        <w:bidi w:val="0"/>
        <w:adjustRightInd/>
        <w:snapToGrid/>
        <w:spacing w:before="173" w:line="374" w:lineRule="auto"/>
        <w:ind w:left="0" w:leftChars="0" w:right="0" w:firstLine="210" w:firstLineChars="100"/>
      </w:pPr>
      <w:r>
        <w:t>3、货物安装完成后</w:t>
      </w:r>
      <w:r>
        <w:rPr>
          <w:rFonts w:ascii="Times New Roman" w:eastAsia="Times New Roman"/>
          <w:u w:val="single"/>
        </w:rPr>
        <w:tab/>
      </w:r>
      <w:r>
        <w:rPr>
          <w:spacing w:val="-1"/>
        </w:rPr>
        <w:t>日内</w:t>
      </w:r>
      <w:r>
        <w:t>，甲方无故不进行验收工作并已使用货物的，</w:t>
      </w:r>
      <w:r>
        <w:rPr>
          <w:spacing w:val="-117"/>
        </w:rPr>
        <w:t xml:space="preserve"> </w:t>
      </w:r>
      <w:r>
        <w:t>视同已安装调试完成并验收合格。</w:t>
      </w:r>
    </w:p>
    <w:p w14:paraId="420AEC65">
      <w:pPr>
        <w:pStyle w:val="18"/>
        <w:keepNext w:val="0"/>
        <w:keepLines w:val="0"/>
        <w:pageBreakBefore w:val="0"/>
        <w:widowControl w:val="0"/>
        <w:kinsoku/>
        <w:wordWrap/>
        <w:overflowPunct/>
        <w:topLinePunct w:val="0"/>
        <w:autoSpaceDE w:val="0"/>
        <w:autoSpaceDN w:val="0"/>
        <w:bidi w:val="0"/>
        <w:adjustRightInd/>
        <w:snapToGrid/>
        <w:spacing w:before="47" w:line="374" w:lineRule="auto"/>
        <w:ind w:left="0" w:leftChars="0" w:right="0" w:firstLine="210" w:firstLineChars="100"/>
        <w:jc w:val="both"/>
      </w:pPr>
      <w:r>
        <w:t>4、乙方应将所提供货物的装箱清单、配件、随机工具、用户使用手册、原厂保修卡等资料交付给甲方；乙方不能完整交付货物及本款规定的单证和工具的，必须负责补齐，否则视为未按合同约定交货。</w:t>
      </w:r>
    </w:p>
    <w:p w14:paraId="0A734F66">
      <w:pPr>
        <w:pStyle w:val="18"/>
        <w:keepNext w:val="0"/>
        <w:keepLines w:val="0"/>
        <w:pageBreakBefore w:val="0"/>
        <w:widowControl w:val="0"/>
        <w:tabs>
          <w:tab w:val="left" w:pos="3191"/>
        </w:tabs>
        <w:kinsoku/>
        <w:wordWrap/>
        <w:overflowPunct/>
        <w:topLinePunct w:val="0"/>
        <w:autoSpaceDE w:val="0"/>
        <w:autoSpaceDN w:val="0"/>
        <w:bidi w:val="0"/>
        <w:adjustRightInd/>
        <w:snapToGrid/>
        <w:spacing w:before="1" w:line="374" w:lineRule="auto"/>
        <w:ind w:left="0" w:leftChars="0" w:right="0" w:firstLine="210" w:firstLineChars="100"/>
      </w:pPr>
      <w:r>
        <w:t>5</w:t>
      </w:r>
      <w:r>
        <w:rPr>
          <w:rFonts w:hint="eastAsia"/>
          <w:lang w:eastAsia="zh-CN"/>
        </w:rPr>
        <w:t>、</w:t>
      </w:r>
      <w:r>
        <w:rPr>
          <w:spacing w:val="-108"/>
        </w:rPr>
        <w:t>、</w:t>
      </w:r>
      <w:r>
        <w:t>如货物经乙方</w:t>
      </w:r>
      <w:r>
        <w:rPr>
          <w:rFonts w:ascii="Times New Roman" w:eastAsia="Times New Roman"/>
          <w:u w:val="single"/>
        </w:rPr>
        <w:tab/>
      </w:r>
      <w:r>
        <w:rPr>
          <w:spacing w:val="-1"/>
        </w:rPr>
        <w:t>次</w:t>
      </w:r>
      <w:r>
        <w:t>维修仍不能达到合同约定的质量标准</w:t>
      </w:r>
      <w:r>
        <w:rPr>
          <w:spacing w:val="-106"/>
        </w:rPr>
        <w:t>，</w:t>
      </w:r>
      <w:r>
        <w:t>甲方有权退货，</w:t>
      </w:r>
      <w:r>
        <w:rPr>
          <w:spacing w:val="-117"/>
        </w:rPr>
        <w:t xml:space="preserve"> </w:t>
      </w:r>
      <w:r>
        <w:t>并视作乙方不能交付货物而须支付违约赔偿金给甲方</w:t>
      </w:r>
      <w:r>
        <w:rPr>
          <w:spacing w:val="-94"/>
        </w:rPr>
        <w:t>，</w:t>
      </w:r>
      <w:r>
        <w:t>甲方还可依法追究乙方的违约责任。</w:t>
      </w:r>
    </w:p>
    <w:p w14:paraId="61EE2AFF">
      <w:pPr>
        <w:pStyle w:val="18"/>
        <w:keepNext w:val="0"/>
        <w:keepLines w:val="0"/>
        <w:pageBreakBefore w:val="0"/>
        <w:widowControl w:val="0"/>
        <w:kinsoku/>
        <w:wordWrap/>
        <w:overflowPunct/>
        <w:topLinePunct w:val="0"/>
        <w:autoSpaceDE w:val="0"/>
        <w:autoSpaceDN w:val="0"/>
        <w:bidi w:val="0"/>
        <w:adjustRightInd/>
        <w:snapToGrid/>
        <w:spacing w:before="0" w:line="374" w:lineRule="auto"/>
        <w:ind w:left="0" w:leftChars="0" w:right="0" w:firstLine="210" w:firstLineChars="100"/>
      </w:pPr>
      <w:r>
        <w:t>6、其他未尽事宜应严格按照《财政部关于进一步加强政府采购需求和履约验收管理的指导意见》（财库〔2016〕205</w:t>
      </w:r>
      <w:r>
        <w:rPr>
          <w:spacing w:val="-30"/>
        </w:rPr>
        <w:t xml:space="preserve"> 号</w:t>
      </w:r>
      <w:r>
        <w:t>）的要求进行。</w:t>
      </w:r>
      <w:bookmarkStart w:id="199" w:name="四、交货及验收"/>
      <w:bookmarkEnd w:id="199"/>
      <w:bookmarkStart w:id="200" w:name="五、付款方式"/>
      <w:bookmarkEnd w:id="200"/>
    </w:p>
    <w:p w14:paraId="0AD190A1">
      <w:pPr>
        <w:pStyle w:val="18"/>
        <w:keepNext w:val="0"/>
        <w:keepLines w:val="0"/>
        <w:pageBreakBefore w:val="0"/>
        <w:widowControl w:val="0"/>
        <w:kinsoku/>
        <w:wordWrap/>
        <w:overflowPunct/>
        <w:topLinePunct w:val="0"/>
        <w:autoSpaceDE w:val="0"/>
        <w:autoSpaceDN w:val="0"/>
        <w:bidi w:val="0"/>
        <w:adjustRightInd/>
        <w:snapToGrid/>
        <w:spacing w:before="0" w:line="374" w:lineRule="auto"/>
        <w:ind w:left="0" w:leftChars="0" w:right="0" w:firstLine="210" w:firstLineChars="100"/>
        <w:rPr>
          <w:rFonts w:hint="eastAsia" w:eastAsia="宋体"/>
          <w:lang w:val="en-US" w:eastAsia="zh-CN"/>
        </w:rPr>
      </w:pPr>
      <w:r>
        <w:t>五、付款方式</w:t>
      </w:r>
    </w:p>
    <w:p w14:paraId="75EF9E9E">
      <w:pPr>
        <w:pStyle w:val="18"/>
        <w:keepNext w:val="0"/>
        <w:keepLines w:val="0"/>
        <w:pageBreakBefore w:val="0"/>
        <w:widowControl w:val="0"/>
        <w:kinsoku/>
        <w:wordWrap/>
        <w:overflowPunct/>
        <w:topLinePunct w:val="0"/>
        <w:autoSpaceDE w:val="0"/>
        <w:autoSpaceDN w:val="0"/>
        <w:bidi w:val="0"/>
        <w:adjustRightInd/>
        <w:snapToGrid/>
        <w:spacing w:before="173"/>
        <w:ind w:left="0" w:leftChars="0" w:right="0" w:firstLine="210" w:firstLineChars="100"/>
        <w:outlineLvl w:val="2"/>
      </w:pPr>
      <w:r>
        <w:t>（一）适用于无预付款采购项目</w:t>
      </w:r>
    </w:p>
    <w:p w14:paraId="1E57D8CA">
      <w:pPr>
        <w:pStyle w:val="18"/>
        <w:keepNext w:val="0"/>
        <w:keepLines w:val="0"/>
        <w:pageBreakBefore w:val="0"/>
        <w:widowControl w:val="0"/>
        <w:tabs>
          <w:tab w:val="left" w:pos="2819"/>
        </w:tabs>
        <w:kinsoku/>
        <w:wordWrap/>
        <w:overflowPunct/>
        <w:topLinePunct w:val="0"/>
        <w:autoSpaceDE w:val="0"/>
        <w:autoSpaceDN w:val="0"/>
        <w:bidi w:val="0"/>
        <w:adjustRightInd/>
        <w:snapToGrid/>
        <w:spacing w:line="374" w:lineRule="auto"/>
        <w:ind w:left="0" w:leftChars="0" w:right="0" w:firstLine="420" w:firstLineChars="200"/>
      </w:pPr>
      <w:r>
        <w:t>1、全部货物安装调试完毕并验收合格之日起，甲方接到乙方通知与票据凭证资料以后的</w:t>
      </w:r>
      <w:r>
        <w:rPr>
          <w:rFonts w:ascii="Times New Roman" w:eastAsia="Times New Roman"/>
          <w:u w:val="single"/>
        </w:rPr>
        <w:tab/>
      </w:r>
      <w:r>
        <w:rPr>
          <w:spacing w:val="-4"/>
        </w:rPr>
        <w:t>日内，按照财政性资金支付有关规定，</w:t>
      </w:r>
      <w:r>
        <w:rPr>
          <w:spacing w:val="-3"/>
        </w:rPr>
        <w:t>向乙方支付合同价款</w:t>
      </w:r>
      <w:r>
        <w:t>￥</w:t>
      </w:r>
      <w:r>
        <w:rPr>
          <w:rFonts w:ascii="Times New Roman" w:eastAsia="Times New Roman"/>
          <w:u w:val="single"/>
        </w:rPr>
        <w:tab/>
      </w:r>
      <w:r>
        <w:t>元，人民币大写</w:t>
      </w:r>
      <w:r>
        <w:rPr>
          <w:rFonts w:ascii="Times New Roman" w:eastAsia="Times New Roman"/>
          <w:u w:val="single"/>
        </w:rPr>
        <w:tab/>
      </w:r>
      <w:r>
        <w:t>元整；</w:t>
      </w:r>
    </w:p>
    <w:p w14:paraId="04AA435E">
      <w:pPr>
        <w:pStyle w:val="18"/>
        <w:keepNext w:val="0"/>
        <w:keepLines w:val="0"/>
        <w:pageBreakBefore w:val="0"/>
        <w:widowControl w:val="0"/>
        <w:kinsoku/>
        <w:wordWrap/>
        <w:overflowPunct/>
        <w:topLinePunct w:val="0"/>
        <w:autoSpaceDE w:val="0"/>
        <w:autoSpaceDN w:val="0"/>
        <w:bidi w:val="0"/>
        <w:adjustRightInd/>
        <w:snapToGrid/>
        <w:ind w:left="0" w:leftChars="0" w:right="0" w:firstLine="420" w:firstLineChars="200"/>
      </w:pPr>
      <w:r>
        <w:t>2、乙方须向甲方出具合法有效完整的完税发票及凭证资料进行支付结算。</w:t>
      </w:r>
    </w:p>
    <w:p w14:paraId="2324A102">
      <w:pPr>
        <w:pStyle w:val="18"/>
        <w:keepNext w:val="0"/>
        <w:keepLines w:val="0"/>
        <w:pageBreakBefore w:val="0"/>
        <w:widowControl w:val="0"/>
        <w:kinsoku/>
        <w:wordWrap/>
        <w:overflowPunct/>
        <w:topLinePunct w:val="0"/>
        <w:autoSpaceDE w:val="0"/>
        <w:autoSpaceDN w:val="0"/>
        <w:bidi w:val="0"/>
        <w:adjustRightInd/>
        <w:snapToGrid/>
        <w:spacing w:before="173" w:line="374" w:lineRule="auto"/>
        <w:ind w:left="0" w:leftChars="0" w:right="0" w:firstLine="210" w:firstLineChars="100"/>
        <w:outlineLvl w:val="2"/>
      </w:pPr>
      <w:r>
        <w:t>（二）适用于有预付款采购项目（预付款建议不超过政府采购合同金额的30%）</w:t>
      </w:r>
    </w:p>
    <w:p w14:paraId="745DE089">
      <w:pPr>
        <w:pStyle w:val="18"/>
        <w:keepNext w:val="0"/>
        <w:keepLines w:val="0"/>
        <w:pageBreakBefore w:val="0"/>
        <w:widowControl w:val="0"/>
        <w:tabs>
          <w:tab w:val="left" w:pos="3659"/>
          <w:tab w:val="left" w:pos="8723"/>
        </w:tabs>
        <w:kinsoku/>
        <w:wordWrap/>
        <w:overflowPunct/>
        <w:topLinePunct w:val="0"/>
        <w:autoSpaceDE w:val="0"/>
        <w:autoSpaceDN w:val="0"/>
        <w:bidi w:val="0"/>
        <w:adjustRightInd/>
        <w:snapToGrid/>
        <w:spacing w:before="0" w:line="374" w:lineRule="auto"/>
        <w:ind w:left="0" w:leftChars="0" w:right="0" w:firstLine="420" w:firstLineChars="200"/>
      </w:pPr>
      <w:r>
        <w:t>1、甲方在本合同签订生效之日起接到乙方通知和票据凭证资料后的</w:t>
      </w:r>
      <w:r>
        <w:rPr>
          <w:rFonts w:hint="eastAsia"/>
          <w:lang w:val="en-US" w:eastAsia="zh-CN"/>
        </w:rPr>
        <w:t xml:space="preserve"> </w:t>
      </w:r>
      <w:r>
        <w:rPr>
          <w:rFonts w:hint="eastAsia"/>
          <w:u w:val="single"/>
          <w:lang w:val="en-US" w:eastAsia="zh-CN"/>
        </w:rPr>
        <w:t xml:space="preserve">             </w:t>
      </w:r>
      <w:r>
        <w:rPr>
          <w:spacing w:val="-3"/>
        </w:rPr>
        <w:t>日</w:t>
      </w:r>
      <w:r>
        <w:t>内支付合同金额百分之</w:t>
      </w:r>
      <w:r>
        <w:rPr>
          <w:rFonts w:hint="eastAsia"/>
          <w:u w:val="single"/>
          <w:lang w:val="en-US" w:eastAsia="zh-CN"/>
        </w:rPr>
        <w:t xml:space="preserve">    </w:t>
      </w:r>
      <w:r>
        <w:t>的价款；</w:t>
      </w:r>
    </w:p>
    <w:p w14:paraId="5E226489">
      <w:pPr>
        <w:pStyle w:val="18"/>
        <w:keepNext w:val="0"/>
        <w:keepLines w:val="0"/>
        <w:pageBreakBefore w:val="0"/>
        <w:widowControl w:val="0"/>
        <w:tabs>
          <w:tab w:val="left" w:pos="2827"/>
          <w:tab w:val="left" w:pos="6559"/>
        </w:tabs>
        <w:kinsoku/>
        <w:wordWrap/>
        <w:overflowPunct/>
        <w:topLinePunct w:val="0"/>
        <w:autoSpaceDE w:val="0"/>
        <w:autoSpaceDN w:val="0"/>
        <w:bidi w:val="0"/>
        <w:adjustRightInd/>
        <w:snapToGrid/>
        <w:spacing w:before="1" w:line="374" w:lineRule="auto"/>
        <w:ind w:left="0" w:leftChars="0" w:right="0" w:firstLine="420" w:firstLineChars="200"/>
        <w:jc w:val="both"/>
      </w:pPr>
      <w:r>
        <w:t>2、全部货物安装调试完毕并验收合格之日起，甲方接到乙方通知与票据凭证资料以后的</w:t>
      </w:r>
      <w:r>
        <w:rPr>
          <w:rFonts w:ascii="Times New Roman" w:eastAsia="Times New Roman"/>
          <w:u w:val="single"/>
        </w:rPr>
        <w:tab/>
      </w:r>
      <w:r>
        <w:t>日内，提交支付凭证资料给</w:t>
      </w:r>
      <w:r>
        <w:rPr>
          <w:rFonts w:ascii="Times New Roman" w:eastAsia="Times New Roman"/>
          <w:u w:val="single"/>
        </w:rPr>
        <w:tab/>
      </w:r>
      <w:r>
        <w:t>财政国库支付执行机构</w:t>
      </w:r>
      <w:r>
        <w:rPr>
          <w:spacing w:val="23"/>
        </w:rPr>
        <w:t>办</w:t>
      </w:r>
      <w:r>
        <w:rPr>
          <w:spacing w:val="21"/>
        </w:rPr>
        <w:t>理</w:t>
      </w:r>
      <w:r>
        <w:rPr>
          <w:spacing w:val="23"/>
        </w:rPr>
        <w:t>财政国</w:t>
      </w:r>
      <w:r>
        <w:rPr>
          <w:spacing w:val="21"/>
        </w:rPr>
        <w:t>库</w:t>
      </w:r>
      <w:r>
        <w:rPr>
          <w:spacing w:val="23"/>
        </w:rPr>
        <w:t>支付</w:t>
      </w:r>
      <w:r>
        <w:rPr>
          <w:spacing w:val="21"/>
        </w:rPr>
        <w:t>手</w:t>
      </w:r>
      <w:r>
        <w:rPr>
          <w:spacing w:val="23"/>
        </w:rPr>
        <w:t>续</w:t>
      </w:r>
      <w:r>
        <w:t>，</w:t>
      </w:r>
      <w:r>
        <w:rPr>
          <w:spacing w:val="-96"/>
        </w:rPr>
        <w:t xml:space="preserve"> </w:t>
      </w:r>
      <w:r>
        <w:rPr>
          <w:spacing w:val="23"/>
        </w:rPr>
        <w:t>并</w:t>
      </w:r>
      <w:r>
        <w:rPr>
          <w:spacing w:val="21"/>
        </w:rPr>
        <w:t>由</w:t>
      </w:r>
      <w:r>
        <w:rPr>
          <w:spacing w:val="23"/>
        </w:rPr>
        <w:t>其向</w:t>
      </w:r>
      <w:r>
        <w:rPr>
          <w:spacing w:val="21"/>
        </w:rPr>
        <w:t>乙</w:t>
      </w:r>
      <w:r>
        <w:rPr>
          <w:spacing w:val="23"/>
        </w:rPr>
        <w:t>方核拨</w:t>
      </w:r>
      <w:r>
        <w:rPr>
          <w:spacing w:val="21"/>
        </w:rPr>
        <w:t>合</w:t>
      </w:r>
      <w:r>
        <w:rPr>
          <w:spacing w:val="24"/>
        </w:rPr>
        <w:t>同总</w:t>
      </w:r>
      <w:r>
        <w:rPr>
          <w:spacing w:val="21"/>
        </w:rPr>
        <w:t>价</w:t>
      </w:r>
      <w:r>
        <w:rPr>
          <w:spacing w:val="24"/>
        </w:rPr>
        <w:t>的百分</w:t>
      </w:r>
      <w:r>
        <w:rPr>
          <w:spacing w:val="20"/>
        </w:rPr>
        <w:t>之</w:t>
      </w:r>
      <w:r>
        <w:rPr>
          <w:spacing w:val="31"/>
          <w:u w:val="single"/>
        </w:rPr>
        <w:t xml:space="preserve"> </w:t>
      </w:r>
      <w:r>
        <w:rPr>
          <w:spacing w:val="24"/>
        </w:rPr>
        <w:t>款</w:t>
      </w:r>
      <w:r>
        <w:rPr>
          <w:spacing w:val="21"/>
        </w:rPr>
        <w:t>项</w:t>
      </w:r>
      <w:r>
        <w:t>：￥</w:t>
      </w:r>
      <w:r>
        <w:rPr>
          <w:rFonts w:ascii="Times New Roman" w:eastAsia="Times New Roman"/>
          <w:u w:val="single"/>
        </w:rPr>
        <w:tab/>
      </w:r>
      <w:r>
        <w:t>元，人民币大写</w:t>
      </w:r>
      <w:r>
        <w:rPr>
          <w:rFonts w:ascii="Times New Roman" w:eastAsia="Times New Roman"/>
          <w:u w:val="single"/>
        </w:rPr>
        <w:tab/>
      </w:r>
      <w:r>
        <w:t>元整；</w:t>
      </w:r>
    </w:p>
    <w:p w14:paraId="0110E5AD">
      <w:pPr>
        <w:pStyle w:val="18"/>
        <w:keepNext w:val="0"/>
        <w:keepLines w:val="0"/>
        <w:pageBreakBefore w:val="0"/>
        <w:widowControl w:val="0"/>
        <w:tabs>
          <w:tab w:val="left" w:pos="2827"/>
          <w:tab w:val="left" w:pos="6559"/>
        </w:tabs>
        <w:kinsoku/>
        <w:wordWrap/>
        <w:overflowPunct/>
        <w:topLinePunct w:val="0"/>
        <w:autoSpaceDE w:val="0"/>
        <w:autoSpaceDN w:val="0"/>
        <w:bidi w:val="0"/>
        <w:adjustRightInd/>
        <w:snapToGrid/>
        <w:spacing w:before="1" w:line="374" w:lineRule="auto"/>
        <w:ind w:left="0" w:leftChars="0" w:right="0" w:firstLine="416" w:firstLineChars="200"/>
        <w:jc w:val="both"/>
        <w:rPr>
          <w:spacing w:val="-1"/>
        </w:rPr>
      </w:pPr>
      <w:r>
        <w:rPr>
          <w:rFonts w:hint="eastAsia"/>
          <w:spacing w:val="-1"/>
          <w:lang w:val="en-US" w:eastAsia="zh-CN"/>
        </w:rPr>
        <w:t>3</w:t>
      </w:r>
      <w:r>
        <w:rPr>
          <w:spacing w:val="-1"/>
        </w:rPr>
        <w:t>、乙方须向甲方出具合法有效完整的完税发票及凭证资料进行支付结算。</w:t>
      </w:r>
      <w:bookmarkStart w:id="201" w:name="六、售后服务"/>
      <w:bookmarkEnd w:id="201"/>
    </w:p>
    <w:p w14:paraId="5E7F33EE">
      <w:pPr>
        <w:pStyle w:val="18"/>
        <w:keepNext w:val="0"/>
        <w:keepLines w:val="0"/>
        <w:pageBreakBefore w:val="0"/>
        <w:widowControl w:val="0"/>
        <w:tabs>
          <w:tab w:val="left" w:pos="2827"/>
          <w:tab w:val="left" w:pos="6559"/>
        </w:tabs>
        <w:kinsoku/>
        <w:wordWrap/>
        <w:overflowPunct/>
        <w:topLinePunct w:val="0"/>
        <w:autoSpaceDE w:val="0"/>
        <w:autoSpaceDN w:val="0"/>
        <w:bidi w:val="0"/>
        <w:adjustRightInd/>
        <w:snapToGrid/>
        <w:spacing w:before="1" w:line="374" w:lineRule="auto"/>
        <w:ind w:left="0" w:leftChars="0" w:right="0" w:firstLine="0" w:firstLineChars="0"/>
        <w:jc w:val="both"/>
        <w:outlineLvl w:val="1"/>
      </w:pPr>
      <w:r>
        <w:t>六、售后服务</w:t>
      </w:r>
    </w:p>
    <w:p w14:paraId="054445D2">
      <w:pPr>
        <w:pStyle w:val="18"/>
        <w:keepNext w:val="0"/>
        <w:keepLines w:val="0"/>
        <w:pageBreakBefore w:val="0"/>
        <w:widowControl w:val="0"/>
        <w:kinsoku/>
        <w:wordWrap/>
        <w:overflowPunct/>
        <w:topLinePunct w:val="0"/>
        <w:autoSpaceDE w:val="0"/>
        <w:autoSpaceDN w:val="0"/>
        <w:bidi w:val="0"/>
        <w:adjustRightInd/>
        <w:snapToGrid/>
        <w:spacing w:before="1" w:line="375" w:lineRule="auto"/>
        <w:ind w:left="0" w:leftChars="0" w:right="0" w:firstLine="210" w:firstLineChars="100"/>
        <w:jc w:val="both"/>
        <w:textAlignment w:val="auto"/>
      </w:pPr>
      <w:r>
        <w:t>1</w:t>
      </w:r>
      <w:r>
        <w:rPr>
          <w:spacing w:val="-5"/>
        </w:rPr>
        <w:t xml:space="preserve">、质保期为验收合格后 </w:t>
      </w:r>
      <w:r>
        <w:rPr>
          <w:rFonts w:ascii="Times New Roman" w:eastAsia="Times New Roman"/>
        </w:rPr>
        <w:t>XX</w:t>
      </w:r>
      <w:r>
        <w:rPr>
          <w:rFonts w:ascii="Times New Roman" w:eastAsia="Times New Roman"/>
          <w:spacing w:val="14"/>
        </w:rPr>
        <w:t xml:space="preserve"> </w:t>
      </w:r>
      <w:r>
        <w:t>年，质保期内出现质量问题，乙方在接到通知后</w:t>
      </w:r>
      <w:r>
        <w:rPr>
          <w:u w:val="single"/>
        </w:rPr>
        <w:t xml:space="preserve">   </w:t>
      </w:r>
      <w:r>
        <w:t>小时内响应到场，</w:t>
      </w:r>
      <w:r>
        <w:rPr>
          <w:spacing w:val="2"/>
          <w:u w:val="single"/>
        </w:rPr>
        <w:t xml:space="preserve">   </w:t>
      </w:r>
      <w:r>
        <w:t>小时内完成维修或更换，并承担修理调换的费用；</w:t>
      </w:r>
      <w:r>
        <w:rPr>
          <w:spacing w:val="-118"/>
        </w:rPr>
        <w:t xml:space="preserve"> </w:t>
      </w:r>
      <w:r>
        <w:t>如货物经乙方</w:t>
      </w:r>
      <w:r>
        <w:rPr>
          <w:spacing w:val="129"/>
          <w:u w:val="single"/>
        </w:rPr>
        <w:t xml:space="preserve"> </w:t>
      </w:r>
      <w:r>
        <w:t>次维修仍不能达到本合同约定的质量标准，视作乙方未能按时</w:t>
      </w:r>
      <w:r>
        <w:rPr>
          <w:spacing w:val="-3"/>
        </w:rPr>
        <w:t>交货，甲方有权退货并追究乙方的违约责任。货到现场后由于甲方保管不当造成</w:t>
      </w:r>
      <w:r>
        <w:t>的问题，乙方亦应负责修复，但费用由甲方负担。</w:t>
      </w:r>
    </w:p>
    <w:p w14:paraId="56FBC5B7">
      <w:pPr>
        <w:keepNext w:val="0"/>
        <w:keepLines w:val="0"/>
        <w:pageBreakBefore w:val="0"/>
        <w:widowControl w:val="0"/>
        <w:kinsoku/>
        <w:wordWrap/>
        <w:overflowPunct/>
        <w:topLinePunct w:val="0"/>
        <w:autoSpaceDE w:val="0"/>
        <w:autoSpaceDN w:val="0"/>
        <w:bidi w:val="0"/>
        <w:adjustRightInd/>
        <w:snapToGrid/>
        <w:spacing w:after="0" w:line="375" w:lineRule="auto"/>
        <w:ind w:left="0" w:leftChars="0" w:right="0" w:firstLine="240" w:firstLineChars="100"/>
        <w:jc w:val="both"/>
        <w:textAlignment w:val="auto"/>
        <w:rPr>
          <w:sz w:val="24"/>
          <w:szCs w:val="24"/>
        </w:rPr>
      </w:pPr>
      <w:r>
        <w:rPr>
          <w:sz w:val="24"/>
          <w:szCs w:val="24"/>
        </w:rPr>
        <w:t>2、乙方须指派专人负责与甲方联系售后服务事宜</w:t>
      </w:r>
      <w:bookmarkStart w:id="202" w:name="七、违约责任"/>
      <w:bookmarkEnd w:id="202"/>
    </w:p>
    <w:p w14:paraId="2E344638">
      <w:pPr>
        <w:pStyle w:val="18"/>
        <w:keepNext w:val="0"/>
        <w:keepLines w:val="0"/>
        <w:pageBreakBefore w:val="0"/>
        <w:widowControl w:val="0"/>
        <w:tabs>
          <w:tab w:val="left" w:pos="2827"/>
          <w:tab w:val="left" w:pos="6559"/>
        </w:tabs>
        <w:kinsoku/>
        <w:wordWrap/>
        <w:overflowPunct/>
        <w:topLinePunct w:val="0"/>
        <w:autoSpaceDE w:val="0"/>
        <w:autoSpaceDN w:val="0"/>
        <w:bidi w:val="0"/>
        <w:adjustRightInd/>
        <w:snapToGrid/>
        <w:spacing w:before="1" w:line="374" w:lineRule="auto"/>
        <w:ind w:left="0" w:leftChars="0" w:right="0" w:firstLine="0" w:firstLineChars="0"/>
        <w:jc w:val="both"/>
        <w:outlineLvl w:val="1"/>
      </w:pPr>
      <w:r>
        <w:t>七、违约责任</w:t>
      </w:r>
    </w:p>
    <w:p w14:paraId="588A2E33">
      <w:pPr>
        <w:pStyle w:val="18"/>
        <w:keepNext w:val="0"/>
        <w:keepLines w:val="0"/>
        <w:pageBreakBefore w:val="0"/>
        <w:widowControl w:val="0"/>
        <w:kinsoku/>
        <w:wordWrap/>
        <w:overflowPunct/>
        <w:topLinePunct w:val="0"/>
        <w:autoSpaceDE w:val="0"/>
        <w:autoSpaceDN w:val="0"/>
        <w:bidi w:val="0"/>
        <w:adjustRightInd/>
        <w:snapToGrid/>
        <w:spacing w:before="0"/>
        <w:ind w:left="0" w:leftChars="0" w:right="0" w:firstLine="210" w:firstLineChars="100"/>
        <w:outlineLvl w:val="2"/>
      </w:pPr>
      <w:r>
        <w:t>1、甲方违约责任</w:t>
      </w:r>
    </w:p>
    <w:p w14:paraId="6BDB876F">
      <w:pPr>
        <w:pStyle w:val="130"/>
        <w:keepNext w:val="0"/>
        <w:keepLines w:val="0"/>
        <w:pageBreakBefore w:val="0"/>
        <w:widowControl w:val="0"/>
        <w:numPr>
          <w:ilvl w:val="0"/>
          <w:numId w:val="0"/>
        </w:numPr>
        <w:tabs>
          <w:tab w:val="left" w:pos="1752"/>
          <w:tab w:val="left" w:pos="7886"/>
        </w:tabs>
        <w:kinsoku/>
        <w:wordWrap/>
        <w:overflowPunct/>
        <w:topLinePunct w:val="0"/>
        <w:autoSpaceDE w:val="0"/>
        <w:autoSpaceDN w:val="0"/>
        <w:bidi w:val="0"/>
        <w:adjustRightInd/>
        <w:snapToGrid/>
        <w:spacing w:before="173" w:after="0" w:line="240" w:lineRule="auto"/>
        <w:ind w:left="0" w:leftChars="0" w:right="0" w:rightChars="0" w:firstLine="480" w:firstLineChars="200"/>
        <w:jc w:val="left"/>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甲方无正当理由拒收货物的</w:t>
      </w:r>
      <w:r>
        <w:rPr>
          <w:spacing w:val="-106"/>
          <w:sz w:val="24"/>
        </w:rPr>
        <w:t>，</w:t>
      </w:r>
      <w:r>
        <w:rPr>
          <w:sz w:val="24"/>
        </w:rPr>
        <w:t>甲方应偿付合同总价百分之</w:t>
      </w:r>
      <w:r>
        <w:rPr>
          <w:spacing w:val="-1"/>
          <w:sz w:val="24"/>
        </w:rPr>
        <w:t>的</w:t>
      </w:r>
      <w:r>
        <w:rPr>
          <w:sz w:val="24"/>
        </w:rPr>
        <w:t>违约金；</w:t>
      </w:r>
    </w:p>
    <w:p w14:paraId="5EB6CEBE">
      <w:pPr>
        <w:pStyle w:val="130"/>
        <w:keepNext w:val="0"/>
        <w:keepLines w:val="0"/>
        <w:pageBreakBefore w:val="0"/>
        <w:widowControl w:val="0"/>
        <w:numPr>
          <w:ilvl w:val="0"/>
          <w:numId w:val="0"/>
        </w:numPr>
        <w:tabs>
          <w:tab w:val="left" w:pos="1739"/>
          <w:tab w:val="left" w:pos="1829"/>
        </w:tabs>
        <w:kinsoku/>
        <w:wordWrap/>
        <w:overflowPunct/>
        <w:topLinePunct w:val="0"/>
        <w:autoSpaceDE w:val="0"/>
        <w:autoSpaceDN w:val="0"/>
        <w:bidi w:val="0"/>
        <w:adjustRightInd/>
        <w:snapToGrid/>
        <w:spacing w:before="172" w:after="0" w:line="374" w:lineRule="auto"/>
        <w:ind w:left="0" w:leftChars="0" w:right="0" w:rightChars="0" w:firstLine="468" w:firstLineChars="200"/>
        <w:jc w:val="left"/>
        <w:rPr>
          <w:sz w:val="24"/>
        </w:rPr>
      </w:pPr>
      <w:r>
        <w:rPr>
          <w:rFonts w:hint="eastAsia"/>
          <w:spacing w:val="-3"/>
          <w:sz w:val="24"/>
          <w:lang w:eastAsia="zh-CN"/>
        </w:rPr>
        <w:t>（</w:t>
      </w:r>
      <w:r>
        <w:rPr>
          <w:rFonts w:hint="eastAsia"/>
          <w:spacing w:val="-3"/>
          <w:sz w:val="24"/>
          <w:lang w:val="en-US" w:eastAsia="zh-CN"/>
        </w:rPr>
        <w:t>2</w:t>
      </w:r>
      <w:r>
        <w:rPr>
          <w:rFonts w:hint="eastAsia"/>
          <w:spacing w:val="-3"/>
          <w:sz w:val="24"/>
          <w:lang w:eastAsia="zh-CN"/>
        </w:rPr>
        <w:t>）</w:t>
      </w:r>
      <w:r>
        <w:rPr>
          <w:spacing w:val="-3"/>
          <w:sz w:val="24"/>
        </w:rPr>
        <w:t>甲方逾</w:t>
      </w:r>
      <w:r>
        <w:rPr>
          <w:spacing w:val="-2"/>
          <w:sz w:val="24"/>
        </w:rPr>
        <w:t>期支付货款的，除应及时付足货款外，应向乙方偿付欠款总额</w:t>
      </w:r>
      <w:r>
        <w:rPr>
          <w:sz w:val="24"/>
        </w:rPr>
        <w:t>万分之</w:t>
      </w:r>
      <w:r>
        <w:rPr>
          <w:rFonts w:ascii="Times New Roman" w:eastAsia="Times New Roman"/>
          <w:sz w:val="24"/>
          <w:u w:val="single"/>
        </w:rPr>
        <w:tab/>
      </w:r>
      <w:r>
        <w:rPr>
          <w:sz w:val="24"/>
        </w:rPr>
        <w:t>/天的违约金；逾期付款超过</w:t>
      </w:r>
      <w:r>
        <w:rPr>
          <w:spacing w:val="1"/>
          <w:sz w:val="24"/>
          <w:u w:val="single"/>
        </w:rPr>
        <w:t xml:space="preserve"> </w:t>
      </w:r>
      <w:r>
        <w:rPr>
          <w:sz w:val="24"/>
        </w:rPr>
        <w:t>天的，乙方有权终止合同；</w:t>
      </w:r>
    </w:p>
    <w:p w14:paraId="65E2D8F6">
      <w:pPr>
        <w:pStyle w:val="130"/>
        <w:keepNext w:val="0"/>
        <w:keepLines w:val="0"/>
        <w:pageBreakBefore w:val="0"/>
        <w:widowControl w:val="0"/>
        <w:numPr>
          <w:ilvl w:val="0"/>
          <w:numId w:val="0"/>
        </w:numPr>
        <w:tabs>
          <w:tab w:val="left" w:pos="1812"/>
        </w:tabs>
        <w:kinsoku/>
        <w:wordWrap/>
        <w:overflowPunct/>
        <w:topLinePunct w:val="0"/>
        <w:autoSpaceDE w:val="0"/>
        <w:autoSpaceDN w:val="0"/>
        <w:bidi w:val="0"/>
        <w:adjustRightInd/>
        <w:snapToGrid/>
        <w:spacing w:before="1" w:after="0" w:line="374" w:lineRule="auto"/>
        <w:ind w:left="0" w:leftChars="0" w:right="0" w:rightChars="0" w:firstLine="472" w:firstLineChars="200"/>
        <w:jc w:val="left"/>
        <w:rPr>
          <w:sz w:val="24"/>
        </w:rPr>
      </w:pPr>
      <w:r>
        <w:rPr>
          <w:rFonts w:hint="eastAsia"/>
          <w:spacing w:val="-2"/>
          <w:sz w:val="24"/>
          <w:lang w:eastAsia="zh-CN"/>
        </w:rPr>
        <w:t>（</w:t>
      </w:r>
      <w:r>
        <w:rPr>
          <w:rFonts w:hint="eastAsia"/>
          <w:spacing w:val="-2"/>
          <w:sz w:val="24"/>
          <w:lang w:val="en-US" w:eastAsia="zh-CN"/>
        </w:rPr>
        <w:t>3</w:t>
      </w:r>
      <w:r>
        <w:rPr>
          <w:rFonts w:hint="eastAsia"/>
          <w:spacing w:val="-2"/>
          <w:sz w:val="24"/>
          <w:lang w:eastAsia="zh-CN"/>
        </w:rPr>
        <w:t>）</w:t>
      </w:r>
      <w:r>
        <w:rPr>
          <w:spacing w:val="-2"/>
          <w:sz w:val="24"/>
        </w:rPr>
        <w:t>甲方偿付的违约金不足以弥补乙方损失的，还应按乙方损失尚未弥补</w:t>
      </w:r>
      <w:r>
        <w:rPr>
          <w:sz w:val="24"/>
        </w:rPr>
        <w:t>的部分，支付赔偿金给乙方。</w:t>
      </w:r>
    </w:p>
    <w:p w14:paraId="7E3D2DA5">
      <w:pPr>
        <w:pStyle w:val="18"/>
        <w:keepNext w:val="0"/>
        <w:keepLines w:val="0"/>
        <w:pageBreakBefore w:val="0"/>
        <w:widowControl w:val="0"/>
        <w:kinsoku/>
        <w:wordWrap/>
        <w:overflowPunct/>
        <w:topLinePunct w:val="0"/>
        <w:autoSpaceDE w:val="0"/>
        <w:autoSpaceDN w:val="0"/>
        <w:bidi w:val="0"/>
        <w:adjustRightInd/>
        <w:snapToGrid/>
        <w:spacing w:before="0"/>
        <w:ind w:left="0" w:leftChars="0" w:right="0" w:firstLine="210" w:firstLineChars="100"/>
        <w:outlineLvl w:val="2"/>
      </w:pPr>
      <w:r>
        <w:t>2、乙方违约责任</w:t>
      </w:r>
    </w:p>
    <w:p w14:paraId="37C173BF">
      <w:pPr>
        <w:pStyle w:val="130"/>
        <w:keepNext w:val="0"/>
        <w:keepLines w:val="0"/>
        <w:pageBreakBefore w:val="0"/>
        <w:widowControl w:val="0"/>
        <w:numPr>
          <w:ilvl w:val="0"/>
          <w:numId w:val="0"/>
        </w:numPr>
        <w:tabs>
          <w:tab w:val="left" w:pos="1741"/>
        </w:tabs>
        <w:kinsoku/>
        <w:wordWrap/>
        <w:overflowPunct/>
        <w:topLinePunct w:val="0"/>
        <w:autoSpaceDE w:val="0"/>
        <w:autoSpaceDN w:val="0"/>
        <w:bidi w:val="0"/>
        <w:adjustRightInd/>
        <w:snapToGrid/>
        <w:spacing w:before="173" w:after="0" w:line="374" w:lineRule="auto"/>
        <w:ind w:left="0" w:leftChars="0" w:right="0" w:rightChars="0" w:firstLine="240" w:firstLineChars="100"/>
        <w:jc w:val="both"/>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乙方交付的货物质量不符合合同规定的，乙方应向甲方支付合同总价</w:t>
      </w:r>
      <w:r>
        <w:rPr>
          <w:spacing w:val="-1"/>
          <w:sz w:val="24"/>
        </w:rPr>
        <w:t>的百分之</w:t>
      </w:r>
      <w:r>
        <w:rPr>
          <w:spacing w:val="36"/>
          <w:sz w:val="24"/>
          <w:u w:val="single"/>
        </w:rPr>
        <w:t xml:space="preserve"> </w:t>
      </w:r>
      <w:r>
        <w:rPr>
          <w:spacing w:val="-1"/>
          <w:sz w:val="24"/>
        </w:rPr>
        <w:t>的违约金，并须在合同规定的交货时间内更换合格的货物给甲方，否</w:t>
      </w:r>
      <w:r>
        <w:rPr>
          <w:sz w:val="24"/>
        </w:rPr>
        <w:t>则，视作乙方不能交付货物而违约，按本条本款下述第“（2）”项规定由乙方偿付违约赔偿金给甲方。</w:t>
      </w:r>
    </w:p>
    <w:p w14:paraId="66AB5235">
      <w:pPr>
        <w:pStyle w:val="130"/>
        <w:keepNext w:val="0"/>
        <w:keepLines w:val="0"/>
        <w:pageBreakBefore w:val="0"/>
        <w:widowControl w:val="0"/>
        <w:numPr>
          <w:ilvl w:val="0"/>
          <w:numId w:val="0"/>
        </w:numPr>
        <w:tabs>
          <w:tab w:val="left" w:pos="1741"/>
        </w:tabs>
        <w:kinsoku/>
        <w:wordWrap/>
        <w:overflowPunct/>
        <w:topLinePunct w:val="0"/>
        <w:autoSpaceDE w:val="0"/>
        <w:autoSpaceDN w:val="0"/>
        <w:bidi w:val="0"/>
        <w:adjustRightInd/>
        <w:snapToGrid/>
        <w:spacing w:before="1" w:after="0" w:line="374" w:lineRule="auto"/>
        <w:ind w:left="0" w:leftChars="0" w:right="0" w:rightChars="0" w:firstLine="720" w:firstLineChars="300"/>
        <w:jc w:val="both"/>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乙方不能交付货物或逾期交付货物而违约的，除应及时交足货物外，</w:t>
      </w:r>
      <w:r>
        <w:rPr>
          <w:spacing w:val="-118"/>
          <w:sz w:val="24"/>
        </w:rPr>
        <w:t xml:space="preserve"> </w:t>
      </w:r>
      <w:r>
        <w:rPr>
          <w:sz w:val="24"/>
        </w:rPr>
        <w:t>应向甲方偿付逾期交货部分货款总额的万分之</w:t>
      </w:r>
      <w:r>
        <w:rPr>
          <w:spacing w:val="116"/>
          <w:sz w:val="24"/>
          <w:u w:val="single"/>
        </w:rPr>
        <w:t xml:space="preserve"> </w:t>
      </w:r>
      <w:r>
        <w:rPr>
          <w:sz w:val="24"/>
        </w:rPr>
        <w:t>/天的违约金；逾期交货超过</w:t>
      </w:r>
      <w:r>
        <w:rPr>
          <w:rFonts w:ascii="Times New Roman" w:eastAsia="Times New Roman"/>
          <w:sz w:val="24"/>
        </w:rPr>
        <w:t>XX</w:t>
      </w:r>
      <w:r>
        <w:rPr>
          <w:rFonts w:ascii="Times New Roman" w:eastAsia="Times New Roman"/>
          <w:spacing w:val="-8"/>
          <w:sz w:val="24"/>
        </w:rPr>
        <w:t xml:space="preserve"> </w:t>
      </w:r>
      <w:r>
        <w:rPr>
          <w:sz w:val="24"/>
        </w:rPr>
        <w:t>天，甲方有权终止合同，乙方则应按合同总价的百分之</w:t>
      </w:r>
      <w:r>
        <w:rPr>
          <w:spacing w:val="93"/>
          <w:sz w:val="24"/>
          <w:u w:val="single"/>
        </w:rPr>
        <w:t xml:space="preserve"> </w:t>
      </w:r>
      <w:r>
        <w:rPr>
          <w:sz w:val="24"/>
        </w:rPr>
        <w:t>的款额向甲方偿付赔偿金，并须全额退还甲方已经付给乙方的货款及其利息。</w:t>
      </w:r>
    </w:p>
    <w:p w14:paraId="04C2D69B">
      <w:pPr>
        <w:pStyle w:val="130"/>
        <w:keepNext w:val="0"/>
        <w:keepLines w:val="0"/>
        <w:pageBreakBefore w:val="0"/>
        <w:widowControl w:val="0"/>
        <w:numPr>
          <w:ilvl w:val="0"/>
          <w:numId w:val="0"/>
        </w:numPr>
        <w:tabs>
          <w:tab w:val="left" w:pos="1741"/>
        </w:tabs>
        <w:kinsoku/>
        <w:wordWrap/>
        <w:overflowPunct/>
        <w:topLinePunct w:val="0"/>
        <w:autoSpaceDE w:val="0"/>
        <w:autoSpaceDN w:val="0"/>
        <w:bidi w:val="0"/>
        <w:adjustRightInd/>
        <w:snapToGrid/>
        <w:spacing w:before="1" w:after="0" w:line="374" w:lineRule="auto"/>
        <w:ind w:left="0" w:leftChars="0" w:right="0" w:rightChars="0" w:firstLine="240" w:firstLineChars="100"/>
        <w:jc w:val="both"/>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乙方货物经甲方送交具有法定资格条件的质量技术监督机构检测后，</w:t>
      </w:r>
      <w:r>
        <w:rPr>
          <w:spacing w:val="-118"/>
          <w:sz w:val="24"/>
        </w:rPr>
        <w:t xml:space="preserve"> </w:t>
      </w:r>
      <w:r>
        <w:rPr>
          <w:spacing w:val="-6"/>
          <w:sz w:val="24"/>
        </w:rPr>
        <w:t>如检测结果认定货物质量不符合本合同规定标准的，则视为乙方没有按时交货而</w:t>
      </w:r>
      <w:r>
        <w:rPr>
          <w:sz w:val="24"/>
        </w:rPr>
        <w:t>违约，乙方须在</w:t>
      </w:r>
      <w:r>
        <w:rPr>
          <w:spacing w:val="129"/>
          <w:sz w:val="24"/>
          <w:u w:val="single"/>
        </w:rPr>
        <w:t xml:space="preserve"> </w:t>
      </w:r>
      <w:r>
        <w:rPr>
          <w:sz w:val="24"/>
        </w:rPr>
        <w:t>天内无条件更换合格的货物，如逾期不能更换合格的货物，</w:t>
      </w:r>
      <w:r>
        <w:rPr>
          <w:spacing w:val="-118"/>
          <w:sz w:val="24"/>
        </w:rPr>
        <w:t xml:space="preserve"> </w:t>
      </w:r>
      <w:r>
        <w:rPr>
          <w:sz w:val="24"/>
        </w:rPr>
        <w:t>甲方有权终止本合同，乙方应另付合同总价的百分之</w:t>
      </w:r>
      <w:r>
        <w:rPr>
          <w:spacing w:val="1"/>
          <w:sz w:val="24"/>
          <w:u w:val="single"/>
        </w:rPr>
        <w:t xml:space="preserve"> </w:t>
      </w:r>
      <w:r>
        <w:rPr>
          <w:sz w:val="24"/>
        </w:rPr>
        <w:t>的赔偿金给甲方。</w:t>
      </w:r>
    </w:p>
    <w:p w14:paraId="360177F8">
      <w:pPr>
        <w:pStyle w:val="130"/>
        <w:keepNext w:val="0"/>
        <w:keepLines w:val="0"/>
        <w:pageBreakBefore w:val="0"/>
        <w:widowControl w:val="0"/>
        <w:numPr>
          <w:ilvl w:val="0"/>
          <w:numId w:val="0"/>
        </w:numPr>
        <w:tabs>
          <w:tab w:val="left" w:pos="1741"/>
        </w:tabs>
        <w:kinsoku/>
        <w:wordWrap/>
        <w:overflowPunct/>
        <w:topLinePunct w:val="0"/>
        <w:autoSpaceDE w:val="0"/>
        <w:autoSpaceDN w:val="0"/>
        <w:bidi w:val="0"/>
        <w:adjustRightInd/>
        <w:snapToGrid/>
        <w:spacing w:before="2" w:after="0" w:line="374" w:lineRule="auto"/>
        <w:ind w:left="0" w:leftChars="0" w:right="0" w:rightChars="0" w:firstLine="240" w:firstLineChars="100"/>
        <w:jc w:val="both"/>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乙方保证本合同货物的权利无瑕疵，包括货物所有权及知识产权等权</w:t>
      </w:r>
      <w:r>
        <w:rPr>
          <w:spacing w:val="-3"/>
          <w:sz w:val="24"/>
        </w:rPr>
        <w:t>利无瑕疵。如任何第三方经法院（或仲裁机构）裁决有权对上述货物主张权利或国家机关依法对货物进行没收查处的，乙方除应向甲方返还已收款项外，还应另</w:t>
      </w:r>
      <w:r>
        <w:rPr>
          <w:sz w:val="24"/>
        </w:rPr>
        <w:t>按合同总价的百分之</w:t>
      </w:r>
      <w:r>
        <w:rPr>
          <w:spacing w:val="1"/>
          <w:sz w:val="24"/>
          <w:u w:val="single"/>
        </w:rPr>
        <w:t xml:space="preserve"> </w:t>
      </w:r>
      <w:r>
        <w:rPr>
          <w:sz w:val="24"/>
        </w:rPr>
        <w:t>向甲方支付违约金并赔偿因此给甲方造成的一切损失。</w:t>
      </w:r>
    </w:p>
    <w:p w14:paraId="3D369C7F">
      <w:pPr>
        <w:pStyle w:val="130"/>
        <w:keepNext w:val="0"/>
        <w:keepLines w:val="0"/>
        <w:pageBreakBefore w:val="0"/>
        <w:widowControl w:val="0"/>
        <w:numPr>
          <w:ilvl w:val="0"/>
          <w:numId w:val="0"/>
        </w:numPr>
        <w:tabs>
          <w:tab w:val="left" w:pos="1741"/>
        </w:tabs>
        <w:kinsoku/>
        <w:wordWrap/>
        <w:overflowPunct/>
        <w:topLinePunct w:val="0"/>
        <w:autoSpaceDE w:val="0"/>
        <w:autoSpaceDN w:val="0"/>
        <w:bidi w:val="0"/>
        <w:adjustRightInd/>
        <w:snapToGrid/>
        <w:spacing w:before="1" w:after="0" w:line="374" w:lineRule="auto"/>
        <w:ind w:left="0" w:leftChars="0" w:right="0" w:rightChars="0"/>
        <w:jc w:val="left"/>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乙方偿付的违约金不足以弥补甲方损失的，还应按甲方损失尚未弥补的部分，支付赔偿金给甲方。</w:t>
      </w:r>
    </w:p>
    <w:p w14:paraId="12BC846E">
      <w:pPr>
        <w:pStyle w:val="18"/>
        <w:keepNext w:val="0"/>
        <w:keepLines w:val="0"/>
        <w:pageBreakBefore w:val="0"/>
        <w:widowControl w:val="0"/>
        <w:kinsoku/>
        <w:wordWrap/>
        <w:overflowPunct/>
        <w:topLinePunct w:val="0"/>
        <w:autoSpaceDE w:val="0"/>
        <w:autoSpaceDN w:val="0"/>
        <w:bidi w:val="0"/>
        <w:adjustRightInd/>
        <w:snapToGrid/>
        <w:spacing w:before="0"/>
        <w:ind w:left="0" w:leftChars="0" w:right="0"/>
        <w:outlineLvl w:val="1"/>
      </w:pPr>
      <w:bookmarkStart w:id="203" w:name="八、争议解决办法"/>
      <w:bookmarkEnd w:id="203"/>
      <w:r>
        <w:t>八、争议解决办法</w:t>
      </w:r>
    </w:p>
    <w:p w14:paraId="49FCB581">
      <w:pPr>
        <w:pStyle w:val="18"/>
        <w:keepNext w:val="0"/>
        <w:keepLines w:val="0"/>
        <w:pageBreakBefore w:val="0"/>
        <w:widowControl w:val="0"/>
        <w:kinsoku/>
        <w:wordWrap/>
        <w:overflowPunct/>
        <w:topLinePunct w:val="0"/>
        <w:autoSpaceDE w:val="0"/>
        <w:autoSpaceDN w:val="0"/>
        <w:bidi w:val="0"/>
        <w:adjustRightInd/>
        <w:snapToGrid/>
        <w:spacing w:before="47" w:line="374" w:lineRule="auto"/>
        <w:ind w:left="0" w:leftChars="0" w:right="0"/>
      </w:pPr>
      <w:r>
        <w:t>1、因货物的质量问题发生争议，由质量技术监督部门或其指定的质量鉴定</w:t>
      </w:r>
      <w:r>
        <w:rPr>
          <w:spacing w:val="-3"/>
        </w:rPr>
        <w:t>机构进行质量鉴定。货物符合标准的，鉴定费由甲方承担；货物不符合质量标准</w:t>
      </w:r>
      <w:r>
        <w:t>的，鉴定费由乙方承担。</w:t>
      </w:r>
    </w:p>
    <w:p w14:paraId="7AC74BC6">
      <w:pPr>
        <w:pStyle w:val="18"/>
        <w:keepNext w:val="0"/>
        <w:keepLines w:val="0"/>
        <w:pageBreakBefore w:val="0"/>
        <w:widowControl w:val="0"/>
        <w:kinsoku/>
        <w:wordWrap/>
        <w:overflowPunct/>
        <w:topLinePunct w:val="0"/>
        <w:autoSpaceDE w:val="0"/>
        <w:autoSpaceDN w:val="0"/>
        <w:bidi w:val="0"/>
        <w:adjustRightInd/>
        <w:snapToGrid/>
        <w:spacing w:before="0" w:line="374" w:lineRule="auto"/>
        <w:ind w:left="0" w:leftChars="0" w:right="0" w:firstLine="480"/>
      </w:pPr>
      <w:r>
        <w:rPr>
          <w:spacing w:val="-3"/>
        </w:rPr>
        <w:t>2、合同履行期间,若双方发生争议，可协商或由有关部门调解解决，协商或</w:t>
      </w:r>
      <w:r>
        <w:t>调解不成的，由当事人依法维护其合法权益。</w:t>
      </w:r>
    </w:p>
    <w:p w14:paraId="0D5DD406">
      <w:pPr>
        <w:pStyle w:val="18"/>
        <w:keepNext w:val="0"/>
        <w:keepLines w:val="0"/>
        <w:pageBreakBefore w:val="0"/>
        <w:widowControl w:val="0"/>
        <w:kinsoku/>
        <w:wordWrap/>
        <w:overflowPunct/>
        <w:topLinePunct w:val="0"/>
        <w:autoSpaceDE w:val="0"/>
        <w:autoSpaceDN w:val="0"/>
        <w:bidi w:val="0"/>
        <w:adjustRightInd/>
        <w:snapToGrid/>
        <w:spacing w:before="1"/>
        <w:ind w:left="0" w:leftChars="0" w:right="0"/>
        <w:outlineLvl w:val="1"/>
      </w:pPr>
      <w:bookmarkStart w:id="204" w:name="九、其他"/>
      <w:bookmarkEnd w:id="204"/>
      <w:r>
        <w:t>九、其他</w:t>
      </w:r>
    </w:p>
    <w:p w14:paraId="4A903599">
      <w:pPr>
        <w:pStyle w:val="18"/>
        <w:keepNext w:val="0"/>
        <w:keepLines w:val="0"/>
        <w:pageBreakBefore w:val="0"/>
        <w:widowControl w:val="0"/>
        <w:kinsoku/>
        <w:wordWrap/>
        <w:overflowPunct/>
        <w:topLinePunct w:val="0"/>
        <w:autoSpaceDE w:val="0"/>
        <w:autoSpaceDN w:val="0"/>
        <w:bidi w:val="0"/>
        <w:adjustRightInd/>
        <w:snapToGrid/>
        <w:ind w:left="0" w:leftChars="0" w:right="0"/>
        <w:outlineLvl w:val="2"/>
      </w:pPr>
      <w:r>
        <w:t>1、如有未尽事宜，由双方依法订立补充合同。</w:t>
      </w:r>
    </w:p>
    <w:p w14:paraId="68DF4223">
      <w:pPr>
        <w:pStyle w:val="18"/>
        <w:keepNext w:val="0"/>
        <w:keepLines w:val="0"/>
        <w:pageBreakBefore w:val="0"/>
        <w:widowControl w:val="0"/>
        <w:kinsoku/>
        <w:wordWrap/>
        <w:overflowPunct/>
        <w:topLinePunct w:val="0"/>
        <w:autoSpaceDE w:val="0"/>
        <w:autoSpaceDN w:val="0"/>
        <w:bidi w:val="0"/>
        <w:adjustRightInd/>
        <w:snapToGrid/>
        <w:spacing w:before="173" w:line="374" w:lineRule="auto"/>
        <w:ind w:left="0" w:leftChars="0" w:right="0" w:firstLine="480"/>
      </w:pPr>
      <w:r>
        <w:t>2、本合同一式六份，自双方签章之日起生效。甲方三份，乙方、政府采购管理部门、采购代理机构各一份。</w:t>
      </w:r>
    </w:p>
    <w:p w14:paraId="4ED833B3">
      <w:pPr>
        <w:spacing w:line="400" w:lineRule="exact"/>
        <w:rPr>
          <w:rFonts w:hint="eastAsia"/>
          <w:color w:val="auto"/>
          <w:sz w:val="24"/>
          <w:szCs w:val="24"/>
          <w:highlight w:val="none"/>
        </w:rPr>
      </w:pPr>
    </w:p>
    <w:p w14:paraId="4FB71F5A">
      <w:pPr>
        <w:spacing w:line="400" w:lineRule="exact"/>
        <w:rPr>
          <w:rFonts w:hint="eastAsia"/>
          <w:color w:val="auto"/>
          <w:sz w:val="24"/>
          <w:szCs w:val="24"/>
          <w:highlight w:val="none"/>
        </w:rPr>
      </w:pPr>
      <w:r>
        <w:rPr>
          <w:rFonts w:hint="eastAsia"/>
          <w:color w:val="auto"/>
          <w:sz w:val="24"/>
          <w:szCs w:val="24"/>
          <w:highlight w:val="none"/>
        </w:rPr>
        <w:t xml:space="preserve">甲方：   （盖章）   </w:t>
      </w:r>
      <w:r>
        <w:rPr>
          <w:rFonts w:hint="eastAsia"/>
          <w:color w:val="auto"/>
          <w:sz w:val="24"/>
          <w:szCs w:val="24"/>
          <w:highlight w:val="none"/>
        </w:rPr>
        <w:tab/>
      </w:r>
      <w:r>
        <w:rPr>
          <w:rFonts w:hint="eastAsia"/>
          <w:color w:val="auto"/>
          <w:sz w:val="24"/>
          <w:szCs w:val="24"/>
          <w:highlight w:val="none"/>
        </w:rPr>
        <w:tab/>
      </w:r>
      <w:r>
        <w:rPr>
          <w:rFonts w:hint="eastAsia"/>
          <w:color w:val="auto"/>
          <w:sz w:val="24"/>
          <w:szCs w:val="24"/>
          <w:highlight w:val="none"/>
        </w:rPr>
        <w:tab/>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乙方：   （盖章）</w:t>
      </w:r>
    </w:p>
    <w:p w14:paraId="10141F0B">
      <w:pPr>
        <w:spacing w:line="400" w:lineRule="exact"/>
        <w:rPr>
          <w:rFonts w:hint="eastAsia"/>
          <w:color w:val="auto"/>
          <w:sz w:val="24"/>
          <w:szCs w:val="24"/>
          <w:highlight w:val="none"/>
        </w:rPr>
      </w:pPr>
      <w:r>
        <w:rPr>
          <w:rFonts w:hint="eastAsia"/>
          <w:color w:val="auto"/>
          <w:sz w:val="24"/>
          <w:szCs w:val="24"/>
          <w:highlight w:val="none"/>
        </w:rPr>
        <w:t>法定代表人（授权代表）：            法定代表人（授权代表）：</w:t>
      </w:r>
    </w:p>
    <w:p w14:paraId="0BD1C4B8">
      <w:pPr>
        <w:spacing w:line="400" w:lineRule="exact"/>
        <w:rPr>
          <w:rFonts w:hint="eastAsia"/>
          <w:color w:val="auto"/>
          <w:sz w:val="24"/>
          <w:szCs w:val="24"/>
          <w:highlight w:val="none"/>
        </w:rPr>
      </w:pPr>
      <w:r>
        <w:rPr>
          <w:rFonts w:hint="eastAsia"/>
          <w:color w:val="auto"/>
          <w:sz w:val="24"/>
          <w:szCs w:val="24"/>
          <w:highlight w:val="none"/>
        </w:rPr>
        <w:t xml:space="preserve">地    址：                       </w:t>
      </w:r>
      <w:r>
        <w:rPr>
          <w:color w:val="auto"/>
          <w:sz w:val="24"/>
          <w:szCs w:val="24"/>
          <w:highlight w:val="none"/>
        </w:rPr>
        <w:t xml:space="preserve"> </w:t>
      </w:r>
      <w:r>
        <w:rPr>
          <w:rFonts w:hint="eastAsia"/>
          <w:color w:val="auto"/>
          <w:sz w:val="24"/>
          <w:szCs w:val="24"/>
          <w:highlight w:val="none"/>
        </w:rPr>
        <w:t xml:space="preserve">  地    址：</w:t>
      </w:r>
    </w:p>
    <w:p w14:paraId="750B0F17">
      <w:pPr>
        <w:spacing w:line="400" w:lineRule="exact"/>
        <w:rPr>
          <w:rFonts w:hint="eastAsia"/>
          <w:color w:val="auto"/>
          <w:sz w:val="24"/>
          <w:szCs w:val="24"/>
          <w:highlight w:val="none"/>
        </w:rPr>
      </w:pPr>
      <w:r>
        <w:rPr>
          <w:rFonts w:hint="eastAsia"/>
          <w:color w:val="auto"/>
          <w:sz w:val="24"/>
          <w:szCs w:val="24"/>
          <w:highlight w:val="none"/>
        </w:rPr>
        <w:t xml:space="preserve">开户银行：                     </w:t>
      </w:r>
      <w:r>
        <w:rPr>
          <w:color w:val="auto"/>
          <w:sz w:val="24"/>
          <w:szCs w:val="24"/>
          <w:highlight w:val="none"/>
        </w:rPr>
        <w:t xml:space="preserve"> </w:t>
      </w:r>
      <w:r>
        <w:rPr>
          <w:rFonts w:hint="eastAsia"/>
          <w:color w:val="auto"/>
          <w:sz w:val="24"/>
          <w:szCs w:val="24"/>
          <w:highlight w:val="none"/>
        </w:rPr>
        <w:t xml:space="preserve">    开户银行：</w:t>
      </w:r>
    </w:p>
    <w:p w14:paraId="2368EDE9">
      <w:pPr>
        <w:spacing w:line="400" w:lineRule="exact"/>
        <w:rPr>
          <w:rFonts w:hint="eastAsia"/>
          <w:color w:val="auto"/>
          <w:sz w:val="24"/>
          <w:szCs w:val="24"/>
          <w:highlight w:val="none"/>
        </w:rPr>
      </w:pPr>
      <w:r>
        <w:rPr>
          <w:rFonts w:hint="eastAsia"/>
          <w:color w:val="auto"/>
          <w:sz w:val="24"/>
          <w:szCs w:val="24"/>
          <w:highlight w:val="none"/>
        </w:rPr>
        <w:t>账    号：                          账    号：</w:t>
      </w:r>
    </w:p>
    <w:p w14:paraId="2344C8E8">
      <w:pPr>
        <w:spacing w:line="400" w:lineRule="exact"/>
        <w:rPr>
          <w:rFonts w:hint="eastAsia"/>
          <w:color w:val="auto"/>
          <w:sz w:val="24"/>
          <w:szCs w:val="24"/>
          <w:highlight w:val="none"/>
        </w:rPr>
      </w:pPr>
      <w:r>
        <w:rPr>
          <w:rFonts w:hint="eastAsia"/>
          <w:color w:val="auto"/>
          <w:sz w:val="24"/>
          <w:szCs w:val="24"/>
          <w:highlight w:val="none"/>
        </w:rPr>
        <w:t xml:space="preserve">电    话：                     </w:t>
      </w:r>
      <w:r>
        <w:rPr>
          <w:color w:val="auto"/>
          <w:sz w:val="24"/>
          <w:szCs w:val="24"/>
          <w:highlight w:val="none"/>
        </w:rPr>
        <w:t xml:space="preserve"> </w:t>
      </w:r>
      <w:r>
        <w:rPr>
          <w:rFonts w:hint="eastAsia"/>
          <w:color w:val="auto"/>
          <w:sz w:val="24"/>
          <w:szCs w:val="24"/>
          <w:highlight w:val="none"/>
        </w:rPr>
        <w:t xml:space="preserve">    电    话：</w:t>
      </w:r>
    </w:p>
    <w:p w14:paraId="2C27602D">
      <w:pPr>
        <w:spacing w:line="400" w:lineRule="exact"/>
        <w:rPr>
          <w:rFonts w:hint="eastAsia"/>
          <w:color w:val="auto"/>
          <w:sz w:val="24"/>
          <w:szCs w:val="24"/>
          <w:highlight w:val="none"/>
        </w:rPr>
      </w:pPr>
      <w:r>
        <w:rPr>
          <w:rFonts w:hint="eastAsia"/>
          <w:color w:val="auto"/>
          <w:sz w:val="24"/>
          <w:szCs w:val="24"/>
          <w:highlight w:val="none"/>
        </w:rPr>
        <w:t xml:space="preserve">传    真：                     </w:t>
      </w:r>
      <w:r>
        <w:rPr>
          <w:color w:val="auto"/>
          <w:sz w:val="24"/>
          <w:szCs w:val="24"/>
          <w:highlight w:val="none"/>
        </w:rPr>
        <w:t xml:space="preserve"> </w:t>
      </w:r>
      <w:r>
        <w:rPr>
          <w:rFonts w:hint="eastAsia"/>
          <w:color w:val="auto"/>
          <w:sz w:val="24"/>
          <w:szCs w:val="24"/>
          <w:highlight w:val="none"/>
        </w:rPr>
        <w:t xml:space="preserve">    传    真：</w:t>
      </w:r>
    </w:p>
    <w:p w14:paraId="3FAFA9E8">
      <w:pPr>
        <w:spacing w:line="400" w:lineRule="exact"/>
        <w:rPr>
          <w:rFonts w:hint="default" w:eastAsia="宋体"/>
          <w:lang w:val="en-US" w:eastAsia="zh-CN"/>
        </w:rPr>
      </w:pPr>
      <w:r>
        <w:rPr>
          <w:rFonts w:hint="eastAsia"/>
          <w:color w:val="auto"/>
          <w:sz w:val="24"/>
          <w:szCs w:val="24"/>
          <w:highlight w:val="none"/>
        </w:rPr>
        <w:t xml:space="preserve">签约日期：XX年XX月XX日 </w:t>
      </w:r>
      <w:r>
        <w:rPr>
          <w:rFonts w:hint="eastAsia"/>
          <w:color w:val="auto"/>
          <w:sz w:val="24"/>
          <w:szCs w:val="24"/>
          <w:highlight w:val="none"/>
        </w:rPr>
        <w:tab/>
      </w:r>
      <w:r>
        <w:rPr>
          <w:color w:val="auto"/>
          <w:sz w:val="24"/>
          <w:szCs w:val="24"/>
          <w:highlight w:val="none"/>
        </w:rPr>
        <w:t xml:space="preserve">     </w:t>
      </w:r>
      <w:r>
        <w:rPr>
          <w:rFonts w:hint="eastAsia"/>
          <w:color w:val="auto"/>
          <w:sz w:val="24"/>
          <w:szCs w:val="24"/>
          <w:highlight w:val="none"/>
        </w:rPr>
        <w:t>签约日期：XX年XX月XX日</w:t>
      </w:r>
    </w:p>
    <w:sectPr>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Arial Unicode MS">
    <w:panose1 w:val="020B0604020202020204"/>
    <w:charset w:val="86"/>
    <w:family w:val="swiss"/>
    <w:pitch w:val="default"/>
    <w:sig w:usb0="F7FFAEFF" w:usb1="F9DFFFFF" w:usb2="0000007F" w:usb3="00000000" w:csb0="203F01FF" w:csb1="DFFF0000"/>
  </w:font>
  <w:font w:name="Syntax">
    <w:altName w:val="MV Boli"/>
    <w:panose1 w:val="000000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汉仪书宋二KW">
    <w:altName w:val="宋体"/>
    <w:panose1 w:val="00020600040101010101"/>
    <w:charset w:val="86"/>
    <w:family w:val="auto"/>
    <w:pitch w:val="default"/>
    <w:sig w:usb0="00000000" w:usb1="00000000" w:usb2="00000016" w:usb3="00000000" w:csb0="00040000" w:csb1="00000000"/>
  </w:font>
  <w:font w:name="Hiragino Sans GB W3">
    <w:altName w:val="宋体"/>
    <w:panose1 w:val="020B0300000000000000"/>
    <w:charset w:val="86"/>
    <w:family w:val="auto"/>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A2B7B">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B56CF">
    <w:pPr>
      <w:pStyle w:val="30"/>
      <w:jc w:val="center"/>
      <w:rPr>
        <w:rFonts w:hint="default" w:eastAsia="宋体"/>
        <w:lang w:val="en-US" w:eastAsia="zh-CN"/>
      </w:rPr>
    </w:pPr>
    <w:r>
      <w:rPr>
        <w:rFonts w:hint="eastAsia"/>
        <w:lang w:val="en-US" w:eastAsia="zh-CN"/>
      </w:rPr>
      <w:t>32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BEF0B">
    <w:pPr>
      <w:pStyle w:val="3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78</w:t>
    </w:r>
    <w:r>
      <w:rPr>
        <w:rFonts w:ascii="Times New Roman" w:hAnsi="Times New Roman"/>
        <w:sz w:val="21"/>
        <w:szCs w:val="21"/>
      </w:rPr>
      <w:fldChar w:fldCharType="end"/>
    </w:r>
  </w:p>
  <w:p w14:paraId="0D33E484">
    <w:pPr>
      <w:pStyle w:val="3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FF8C6">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344A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KtMUy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oq0xTICAABkBAAADgAAAAAAAAABACAAAAAfAQAAZHJzL2Uyb0RvYy54bWxQSwUG&#10;AAAAAAYABgBZAQAAwwUAAAAA&#10;">
              <v:fill on="f" focussize="0,0"/>
              <v:stroke on="f" weight="0.5pt"/>
              <v:imagedata o:title=""/>
              <o:lock v:ext="edit" aspectratio="f"/>
              <v:textbox inset="0mm,0mm,0mm,0mm" style="mso-fit-shape-to-text:t;">
                <w:txbxContent>
                  <w:p w14:paraId="04344A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E5214">
    <w:pPr>
      <w:pStyle w:val="30"/>
      <w:jc w:val="center"/>
    </w:pPr>
    <w:r>
      <w:fldChar w:fldCharType="begin"/>
    </w:r>
    <w:r>
      <w:instrText xml:space="preserve">PAGE   \* MERGEFORMAT</w:instrText>
    </w:r>
    <w:r>
      <w:fldChar w:fldCharType="separate"/>
    </w:r>
    <w:r>
      <w:rPr>
        <w:lang w:val="zh-CN"/>
      </w:rPr>
      <w:t>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53871">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39F6C">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69713">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B899E">
    <w:pPr>
      <w:pStyle w:val="30"/>
      <w:jc w:val="center"/>
    </w:pPr>
    <w:r>
      <w:fldChar w:fldCharType="begin"/>
    </w:r>
    <w:r>
      <w:instrText xml:space="preserve">PAGE   \* MERGEFORMAT</w:instrText>
    </w:r>
    <w:r>
      <w:fldChar w:fldCharType="separate"/>
    </w:r>
    <w:r>
      <w:rPr>
        <w:lang w:val="zh-CN"/>
      </w:rPr>
      <w:t>42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39D6A">
    <w:pPr>
      <w:pStyle w:val="30"/>
      <w:jc w:val="center"/>
    </w:pPr>
    <w:r>
      <w:fldChar w:fldCharType="begin"/>
    </w:r>
    <w:r>
      <w:instrText xml:space="preserve">PAGE   \* MERGEFORMAT</w:instrText>
    </w:r>
    <w:r>
      <w:fldChar w:fldCharType="separate"/>
    </w:r>
    <w:r>
      <w:rPr>
        <w:lang w:val="zh-CN"/>
      </w:rPr>
      <w:t>42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B0569">
    <w:pPr>
      <w:pStyle w:val="30"/>
      <w:jc w:val="center"/>
      <w:rPr>
        <w:rFonts w:hint="eastAsia" w:eastAsia="宋体"/>
        <w:lang w:val="en-US" w:eastAsia="zh-CN"/>
      </w:rPr>
    </w:pPr>
    <w:r>
      <w:rPr>
        <w:rFonts w:hint="eastAsia"/>
        <w:lang w:val="en-US" w:eastAsia="zh-CN"/>
      </w:rPr>
      <w:t>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1A5D4">
    <w:pPr>
      <w:pStyle w:val="30"/>
      <w:jc w:val="center"/>
    </w:pPr>
    <w:r>
      <w:fldChar w:fldCharType="begin"/>
    </w:r>
    <w:r>
      <w:instrText xml:space="preserve">PAGE   \* MERGEFORMAT</w:instrText>
    </w:r>
    <w:r>
      <w:fldChar w:fldCharType="separate"/>
    </w:r>
    <w:r>
      <w:rPr>
        <w:lang w:val="zh-CN"/>
      </w:rPr>
      <w:t>42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9D707">
    <w:pPr>
      <w:pStyle w:val="31"/>
      <w:pBdr>
        <w:bottom w:val="none" w:color="auto" w:sz="0" w:space="0"/>
      </w:pBd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836285"/>
          <wp:effectExtent l="0" t="0" r="2540" b="12065"/>
          <wp:wrapNone/>
          <wp:docPr id="11" name="图片 1057"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57" descr="五邑水印"/>
                  <pic:cNvPicPr>
                    <a:picLocks noChangeAspect="1"/>
                  </pic:cNvPicPr>
                </pic:nvPicPr>
                <pic:blipFill>
                  <a:blip r:embed="rId1"/>
                  <a:stretch>
                    <a:fillRect/>
                  </a:stretch>
                </pic:blipFill>
                <pic:spPr>
                  <a:xfrm>
                    <a:off x="0" y="0"/>
                    <a:ext cx="5274310" cy="5836285"/>
                  </a:xfrm>
                  <a:prstGeom prst="rect">
                    <a:avLst/>
                  </a:prstGeom>
                  <a:noFill/>
                  <a:ln>
                    <a:noFill/>
                  </a:ln>
                </pic:spPr>
              </pic:pic>
            </a:graphicData>
          </a:graphic>
        </wp:anchor>
      </w:drawing>
    </w: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6189345" cy="5946775"/>
          <wp:effectExtent l="0" t="0" r="1905" b="15875"/>
          <wp:wrapNone/>
          <wp:docPr id="14" name="WordPictureWatermark238229"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38229" descr="WPS图片"/>
                  <pic:cNvPicPr>
                    <a:picLocks noChangeAspect="1"/>
                  </pic:cNvPicPr>
                </pic:nvPicPr>
                <pic:blipFill>
                  <a:blip r:embed="rId2">
                    <a:lum bright="70000" contrast="-70000"/>
                  </a:blip>
                  <a:stretch>
                    <a:fillRect/>
                  </a:stretch>
                </pic:blipFill>
                <pic:spPr>
                  <a:xfrm>
                    <a:off x="0" y="0"/>
                    <a:ext cx="6189345" cy="5946775"/>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39357">
    <w:pPr>
      <w:pStyle w:val="3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8" name="WordPictureWatermark108073837"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08073837"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8560">
    <w:pPr>
      <w:pStyle w:val="3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4" name="WordPictureWatermark108073841"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108073841"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02AF7">
    <w:pPr>
      <w:pStyle w:val="31"/>
      <w:pBdr>
        <w:bottom w:val="none" w:color="auto" w:sz="0" w:space="1"/>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5" name="WordPictureWatermark108073840"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8073840"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A94EB">
    <w:pPr>
      <w:pStyle w:val="31"/>
      <w:pBdr>
        <w:bottom w:val="none" w:color="auto" w:sz="0" w:space="0"/>
      </w:pBd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6189345" cy="5946775"/>
          <wp:effectExtent l="0" t="0" r="1905" b="15875"/>
          <wp:wrapNone/>
          <wp:docPr id="20" name="WordPictureWatermark388917"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388917" descr="WPS图片"/>
                  <pic:cNvPicPr>
                    <a:picLocks noChangeAspect="1"/>
                  </pic:cNvPicPr>
                </pic:nvPicPr>
                <pic:blipFill>
                  <a:blip r:embed="rId1">
                    <a:lum bright="70000" contrast="-70000"/>
                  </a:blip>
                  <a:stretch>
                    <a:fillRect/>
                  </a:stretch>
                </pic:blipFill>
                <pic:spPr>
                  <a:xfrm>
                    <a:off x="0" y="0"/>
                    <a:ext cx="6189345" cy="5946775"/>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8494B">
    <w:pPr>
      <w:pStyle w:val="31"/>
      <w:pBdr>
        <w:bottom w:val="none" w:color="auto" w:sz="0" w:space="1"/>
      </w:pBd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6189345" cy="5946775"/>
          <wp:effectExtent l="0" t="0" r="1905" b="15875"/>
          <wp:wrapNone/>
          <wp:docPr id="23" name="WordPictureWatermark410245"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410245" descr="WPS图片"/>
                  <pic:cNvPicPr>
                    <a:picLocks noChangeAspect="1"/>
                  </pic:cNvPicPr>
                </pic:nvPicPr>
                <pic:blipFill>
                  <a:blip r:embed="rId1">
                    <a:lum bright="70000" contrast="-70000"/>
                  </a:blip>
                  <a:stretch>
                    <a:fillRect/>
                  </a:stretch>
                </pic:blipFill>
                <pic:spPr>
                  <a:xfrm>
                    <a:off x="0" y="0"/>
                    <a:ext cx="6189345" cy="5946775"/>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F9B5F">
    <w:pPr>
      <w:pStyle w:val="31"/>
      <w:pBdr>
        <w:bottom w:val="none" w:color="auto" w:sz="0" w:space="1"/>
      </w:pBdr>
      <w:jc w:val="distribute"/>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CA3D">
    <w:pPr>
      <w:pStyle w:val="3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1" name="WordPictureWatermark10807384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08073844"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9A6CD">
    <w:pPr>
      <w:pStyle w:val="3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2" name="WordPictureWatermark10807384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08073843"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99CA6">
    <w:pPr>
      <w:pStyle w:val="3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3" name="WordPictureWatermark108073829"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8073829"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0BABE">
    <w:pPr>
      <w:pStyle w:val="31"/>
      <w:pBdr>
        <w:bottom w:val="none" w:color="auto" w:sz="0" w:space="1"/>
      </w:pBdr>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6189345" cy="5946775"/>
          <wp:effectExtent l="0" t="0" r="1905" b="15875"/>
          <wp:wrapNone/>
          <wp:docPr id="15" name="WordPictureWatermark258994"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258994" descr="WPS图片"/>
                  <pic:cNvPicPr>
                    <a:picLocks noChangeAspect="1"/>
                  </pic:cNvPicPr>
                </pic:nvPicPr>
                <pic:blipFill>
                  <a:blip r:embed="rId1">
                    <a:lum bright="70000" contrast="-70000"/>
                  </a:blip>
                  <a:stretch>
                    <a:fillRect/>
                  </a:stretch>
                </pic:blipFill>
                <pic:spPr>
                  <a:xfrm>
                    <a:off x="0" y="0"/>
                    <a:ext cx="6189345" cy="594677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0646F">
    <w:pPr>
      <w:pStyle w:val="31"/>
      <w:pBdr>
        <w:bottom w:val="none" w:color="auto" w:sz="0" w:space="0"/>
      </w:pBdr>
      <w:jc w:val="both"/>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6189345" cy="5946775"/>
          <wp:effectExtent l="0" t="0" r="1905" b="15875"/>
          <wp:wrapNone/>
          <wp:docPr id="16" name="WordPictureWatermark282032"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82032" descr="WPS图片"/>
                  <pic:cNvPicPr>
                    <a:picLocks noChangeAspect="1"/>
                  </pic:cNvPicPr>
                </pic:nvPicPr>
                <pic:blipFill>
                  <a:blip r:embed="rId1">
                    <a:lum bright="70000" contrast="-70000"/>
                  </a:blip>
                  <a:stretch>
                    <a:fillRect/>
                  </a:stretch>
                </pic:blipFill>
                <pic:spPr>
                  <a:xfrm>
                    <a:off x="0" y="0"/>
                    <a:ext cx="6189345" cy="5946775"/>
                  </a:xfrm>
                  <a:prstGeom prst="rect">
                    <a:avLst/>
                  </a:prstGeom>
                </pic:spPr>
              </pic:pic>
            </a:graphicData>
          </a:graphic>
        </wp:anchor>
      </w:drawing>
    </w:r>
    <w:r>
      <w:drawing>
        <wp:inline distT="0" distB="0" distL="114300" distR="114300">
          <wp:extent cx="349885" cy="337820"/>
          <wp:effectExtent l="0" t="0" r="12065"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
                  <a:stretch>
                    <a:fillRect/>
                  </a:stretch>
                </pic:blipFill>
                <pic:spPr>
                  <a:xfrm>
                    <a:off x="0" y="0"/>
                    <a:ext cx="349885" cy="337820"/>
                  </a:xfrm>
                  <a:prstGeom prst="rect">
                    <a:avLst/>
                  </a:prstGeom>
                  <a:noFill/>
                  <a:ln>
                    <a:noFill/>
                  </a:ln>
                </pic:spPr>
              </pic:pic>
            </a:graphicData>
          </a:graphic>
        </wp:inline>
      </w:drawing>
    </w:r>
    <w:r>
      <w:rPr>
        <w:rFonts w:hint="eastAsia" w:hAnsi="Times New Roman"/>
        <w:b/>
        <w:bCs/>
        <w:sz w:val="21"/>
        <w:szCs w:val="21"/>
      </w:rPr>
      <w:drawing>
        <wp:inline distT="0" distB="0" distL="114300" distR="114300">
          <wp:extent cx="2453005" cy="356870"/>
          <wp:effectExtent l="0" t="0" r="4445" b="5080"/>
          <wp:docPr id="12" name="图片 12" descr="1652069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52069362(1)"/>
                  <pic:cNvPicPr>
                    <a:picLocks noChangeAspect="1"/>
                  </pic:cNvPicPr>
                </pic:nvPicPr>
                <pic:blipFill>
                  <a:blip r:embed="rId3"/>
                  <a:stretch>
                    <a:fillRect/>
                  </a:stretch>
                </pic:blipFill>
                <pic:spPr>
                  <a:xfrm>
                    <a:off x="0" y="0"/>
                    <a:ext cx="2453005" cy="35687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180A">
    <w:pPr>
      <w:pStyle w:val="3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6" name="WordPictureWatermark108073835"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108073835"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057BC">
    <w:pPr>
      <w:pStyle w:val="31"/>
      <w:pBdr>
        <w:bottom w:val="none" w:color="auto" w:sz="0" w:space="1"/>
      </w:pBdr>
      <w:jc w:val="both"/>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6189345" cy="5946775"/>
          <wp:effectExtent l="0" t="0" r="1905" b="15875"/>
          <wp:wrapNone/>
          <wp:docPr id="17" name="WordPictureWatermark314767"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314767" descr="WPS图片"/>
                  <pic:cNvPicPr>
                    <a:picLocks noChangeAspect="1"/>
                  </pic:cNvPicPr>
                </pic:nvPicPr>
                <pic:blipFill>
                  <a:blip r:embed="rId1">
                    <a:lum bright="70000" contrast="-70000"/>
                  </a:blip>
                  <a:stretch>
                    <a:fillRect/>
                  </a:stretch>
                </pic:blipFill>
                <pic:spPr>
                  <a:xfrm>
                    <a:off x="0" y="0"/>
                    <a:ext cx="6189345" cy="5946775"/>
                  </a:xfrm>
                  <a:prstGeom prst="rect">
                    <a:avLst/>
                  </a:prstGeom>
                </pic:spPr>
              </pic:pic>
            </a:graphicData>
          </a:graphic>
        </wp:anchor>
      </w:drawing>
    </w:r>
    <w:r>
      <w:drawing>
        <wp:inline distT="0" distB="0" distL="114300" distR="114300">
          <wp:extent cx="349885" cy="337820"/>
          <wp:effectExtent l="0" t="0" r="12065"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
                  <a:stretch>
                    <a:fillRect/>
                  </a:stretch>
                </pic:blipFill>
                <pic:spPr>
                  <a:xfrm>
                    <a:off x="0" y="0"/>
                    <a:ext cx="349885" cy="337820"/>
                  </a:xfrm>
                  <a:prstGeom prst="rect">
                    <a:avLst/>
                  </a:prstGeom>
                  <a:noFill/>
                  <a:ln>
                    <a:noFill/>
                  </a:ln>
                </pic:spPr>
              </pic:pic>
            </a:graphicData>
          </a:graphic>
        </wp:inline>
      </w:drawing>
    </w:r>
    <w:r>
      <w:rPr>
        <w:rFonts w:hint="eastAsia" w:hAnsi="Times New Roman"/>
        <w:b/>
        <w:bCs/>
        <w:sz w:val="21"/>
        <w:szCs w:val="21"/>
      </w:rPr>
      <w:drawing>
        <wp:inline distT="0" distB="0" distL="114300" distR="114300">
          <wp:extent cx="2453005" cy="356870"/>
          <wp:effectExtent l="0" t="0" r="4445" b="5080"/>
          <wp:docPr id="22" name="图片 22" descr="1652069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52069362(1)"/>
                  <pic:cNvPicPr>
                    <a:picLocks noChangeAspect="1"/>
                  </pic:cNvPicPr>
                </pic:nvPicPr>
                <pic:blipFill>
                  <a:blip r:embed="rId3"/>
                  <a:stretch>
                    <a:fillRect/>
                  </a:stretch>
                </pic:blipFill>
                <pic:spPr>
                  <a:xfrm>
                    <a:off x="0" y="0"/>
                    <a:ext cx="2453005" cy="35687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7A1B7">
    <w:pPr>
      <w:pStyle w:val="31"/>
      <w:pBdr>
        <w:bottom w:val="none" w:color="auto" w:sz="0" w:space="0"/>
      </w:pBd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6189345" cy="5946775"/>
          <wp:effectExtent l="0" t="0" r="1905" b="15875"/>
          <wp:wrapNone/>
          <wp:docPr id="18" name="WordPictureWatermark356097"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356097" descr="WPS图片"/>
                  <pic:cNvPicPr>
                    <a:picLocks noChangeAspect="1"/>
                  </pic:cNvPicPr>
                </pic:nvPicPr>
                <pic:blipFill>
                  <a:blip r:embed="rId1">
                    <a:lum bright="70000" contrast="-70000"/>
                  </a:blip>
                  <a:stretch>
                    <a:fillRect/>
                  </a:stretch>
                </pic:blipFill>
                <pic:spPr>
                  <a:xfrm>
                    <a:off x="0" y="0"/>
                    <a:ext cx="6189345" cy="594677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65FAC">
    <w:pPr>
      <w:pStyle w:val="31"/>
      <w:pBdr>
        <w:bottom w:val="none" w:color="auto" w:sz="0" w:space="1"/>
      </w:pBdr>
      <w:tabs>
        <w:tab w:val="left" w:pos="4251"/>
        <w:tab w:val="center" w:pos="4933"/>
      </w:tabs>
      <w:jc w:val="left"/>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6189345" cy="5946775"/>
          <wp:effectExtent l="0" t="0" r="1905" b="15875"/>
          <wp:wrapNone/>
          <wp:docPr id="19" name="WordPictureWatermark368553"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368553" descr="WPS图片"/>
                  <pic:cNvPicPr>
                    <a:picLocks noChangeAspect="1"/>
                  </pic:cNvPicPr>
                </pic:nvPicPr>
                <pic:blipFill>
                  <a:blip r:embed="rId1">
                    <a:lum bright="70000" contrast="-70000"/>
                  </a:blip>
                  <a:stretch>
                    <a:fillRect/>
                  </a:stretch>
                </pic:blipFill>
                <pic:spPr>
                  <a:xfrm>
                    <a:off x="0" y="0"/>
                    <a:ext cx="6189345" cy="5946775"/>
                  </a:xfrm>
                  <a:prstGeom prst="rect">
                    <a:avLst/>
                  </a:prstGeom>
                </pic:spPr>
              </pic:pic>
            </a:graphicData>
          </a:graphic>
        </wp:anchor>
      </w:drawing>
    </w:r>
    <w:r>
      <w:rPr>
        <w:rFonts w:hint="eastAsia"/>
        <w:lang w:eastAsia="zh-CN"/>
      </w:rPr>
      <w:tab/>
    </w:r>
    <w:r>
      <w:rPr>
        <w:rFonts w:hint="eastAsia"/>
        <w:lang w:eastAsia="zh-CN"/>
      </w:rPr>
      <w:tab/>
    </w:r>
    <w:r>
      <w:rPr>
        <w:rFonts w:hint="eastAsia"/>
        <w:lang w:eastAsia="zh-CN"/>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79184">
    <w:pPr>
      <w:pStyle w:val="3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37250" cy="5798820"/>
          <wp:effectExtent l="0" t="0" r="6350" b="11430"/>
          <wp:wrapNone/>
          <wp:docPr id="7" name="WordPictureWatermark10807383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08073838"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BA550A"/>
    <w:multiLevelType w:val="singleLevel"/>
    <w:tmpl w:val="FEBA550A"/>
    <w:lvl w:ilvl="0" w:tentative="0">
      <w:start w:val="1"/>
      <w:numFmt w:val="decimal"/>
      <w:suff w:val="nothing"/>
      <w:lvlText w:val="%1、"/>
      <w:lvlJc w:val="left"/>
    </w:lvl>
  </w:abstractNum>
  <w:abstractNum w:abstractNumId="1">
    <w:nsid w:val="00000003"/>
    <w:multiLevelType w:val="multilevel"/>
    <w:tmpl w:val="00000003"/>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6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2A163F7F"/>
    <w:multiLevelType w:val="singleLevel"/>
    <w:tmpl w:val="2A163F7F"/>
    <w:lvl w:ilvl="0" w:tentative="0">
      <w:start w:val="2"/>
      <w:numFmt w:val="decimal"/>
      <w:lvlText w:val="%1."/>
      <w:lvlJc w:val="left"/>
      <w:pPr>
        <w:tabs>
          <w:tab w:val="left" w:pos="312"/>
        </w:tabs>
      </w:pPr>
    </w:lvl>
  </w:abstractNum>
  <w:abstractNum w:abstractNumId="3">
    <w:nsid w:val="47C13D9A"/>
    <w:multiLevelType w:val="singleLevel"/>
    <w:tmpl w:val="47C13D9A"/>
    <w:lvl w:ilvl="0" w:tentative="0">
      <w:start w:val="1"/>
      <w:numFmt w:val="chineseCounting"/>
      <w:suff w:val="nothing"/>
      <w:lvlText w:val="%1、"/>
      <w:lvlJc w:val="left"/>
      <w:rPr>
        <w:rFonts w:hint="eastAsia"/>
      </w:rPr>
    </w:lvl>
  </w:abstractNum>
  <w:abstractNum w:abstractNumId="4">
    <w:nsid w:val="6AA28879"/>
    <w:multiLevelType w:val="multilevel"/>
    <w:tmpl w:val="6AA28879"/>
    <w:lvl w:ilvl="0" w:tentative="0">
      <w:start w:val="3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YTgyNjY3OTk5NzlkNTFiZjNiNGM0N2M1NjJjYjcifQ=="/>
  </w:docVars>
  <w:rsids>
    <w:rsidRoot w:val="00172A27"/>
    <w:rsid w:val="0000056E"/>
    <w:rsid w:val="00000D2C"/>
    <w:rsid w:val="00001F17"/>
    <w:rsid w:val="00002382"/>
    <w:rsid w:val="000035DE"/>
    <w:rsid w:val="000035FE"/>
    <w:rsid w:val="00003754"/>
    <w:rsid w:val="000037A4"/>
    <w:rsid w:val="00003D88"/>
    <w:rsid w:val="000046B2"/>
    <w:rsid w:val="00005A35"/>
    <w:rsid w:val="0000625D"/>
    <w:rsid w:val="000068BC"/>
    <w:rsid w:val="000069C4"/>
    <w:rsid w:val="000070F7"/>
    <w:rsid w:val="00007710"/>
    <w:rsid w:val="00010265"/>
    <w:rsid w:val="000103CD"/>
    <w:rsid w:val="00010B3C"/>
    <w:rsid w:val="00011777"/>
    <w:rsid w:val="0001200B"/>
    <w:rsid w:val="000129E1"/>
    <w:rsid w:val="00012FEA"/>
    <w:rsid w:val="000148C6"/>
    <w:rsid w:val="00014AF6"/>
    <w:rsid w:val="00015676"/>
    <w:rsid w:val="00015872"/>
    <w:rsid w:val="00017096"/>
    <w:rsid w:val="00017A20"/>
    <w:rsid w:val="00017C1F"/>
    <w:rsid w:val="00017C3D"/>
    <w:rsid w:val="00017CA6"/>
    <w:rsid w:val="00017D59"/>
    <w:rsid w:val="00020234"/>
    <w:rsid w:val="0002053A"/>
    <w:rsid w:val="0002276B"/>
    <w:rsid w:val="0002281B"/>
    <w:rsid w:val="00022DCE"/>
    <w:rsid w:val="00023430"/>
    <w:rsid w:val="0002362B"/>
    <w:rsid w:val="000245B4"/>
    <w:rsid w:val="000247AD"/>
    <w:rsid w:val="00024B3A"/>
    <w:rsid w:val="000258DD"/>
    <w:rsid w:val="0002598C"/>
    <w:rsid w:val="00031A7B"/>
    <w:rsid w:val="00033D03"/>
    <w:rsid w:val="00034086"/>
    <w:rsid w:val="0003438A"/>
    <w:rsid w:val="00034504"/>
    <w:rsid w:val="000345BB"/>
    <w:rsid w:val="00034B7F"/>
    <w:rsid w:val="00034D05"/>
    <w:rsid w:val="00034F2B"/>
    <w:rsid w:val="000354B6"/>
    <w:rsid w:val="000357EF"/>
    <w:rsid w:val="000368C6"/>
    <w:rsid w:val="00037307"/>
    <w:rsid w:val="0004133E"/>
    <w:rsid w:val="00041B96"/>
    <w:rsid w:val="00041BE6"/>
    <w:rsid w:val="00041F08"/>
    <w:rsid w:val="0004279B"/>
    <w:rsid w:val="00043A31"/>
    <w:rsid w:val="00044244"/>
    <w:rsid w:val="00044610"/>
    <w:rsid w:val="00044C4E"/>
    <w:rsid w:val="00044DF4"/>
    <w:rsid w:val="000455C5"/>
    <w:rsid w:val="00045DA4"/>
    <w:rsid w:val="00045F7F"/>
    <w:rsid w:val="00046815"/>
    <w:rsid w:val="00046A23"/>
    <w:rsid w:val="00046A5A"/>
    <w:rsid w:val="00046F20"/>
    <w:rsid w:val="000474D6"/>
    <w:rsid w:val="0004769C"/>
    <w:rsid w:val="000476A0"/>
    <w:rsid w:val="00050009"/>
    <w:rsid w:val="00050737"/>
    <w:rsid w:val="00051178"/>
    <w:rsid w:val="00051693"/>
    <w:rsid w:val="00051F6E"/>
    <w:rsid w:val="000520A5"/>
    <w:rsid w:val="00052206"/>
    <w:rsid w:val="000524CF"/>
    <w:rsid w:val="0005286B"/>
    <w:rsid w:val="00052DC8"/>
    <w:rsid w:val="00053273"/>
    <w:rsid w:val="00053618"/>
    <w:rsid w:val="000536CA"/>
    <w:rsid w:val="00054197"/>
    <w:rsid w:val="000541EA"/>
    <w:rsid w:val="00054BE3"/>
    <w:rsid w:val="0005529E"/>
    <w:rsid w:val="000553A8"/>
    <w:rsid w:val="000555F4"/>
    <w:rsid w:val="00057945"/>
    <w:rsid w:val="00057C46"/>
    <w:rsid w:val="000604BA"/>
    <w:rsid w:val="00060881"/>
    <w:rsid w:val="00060CAA"/>
    <w:rsid w:val="00060DEC"/>
    <w:rsid w:val="00061B4C"/>
    <w:rsid w:val="000621B1"/>
    <w:rsid w:val="00063DEC"/>
    <w:rsid w:val="000645BC"/>
    <w:rsid w:val="000649E5"/>
    <w:rsid w:val="000675ED"/>
    <w:rsid w:val="0006771F"/>
    <w:rsid w:val="0006774F"/>
    <w:rsid w:val="000678C6"/>
    <w:rsid w:val="00067EA9"/>
    <w:rsid w:val="0007009C"/>
    <w:rsid w:val="00070281"/>
    <w:rsid w:val="000703B1"/>
    <w:rsid w:val="00070ABE"/>
    <w:rsid w:val="00071D2A"/>
    <w:rsid w:val="00072072"/>
    <w:rsid w:val="00072200"/>
    <w:rsid w:val="00072480"/>
    <w:rsid w:val="00073537"/>
    <w:rsid w:val="00073BE6"/>
    <w:rsid w:val="0007409D"/>
    <w:rsid w:val="0007415D"/>
    <w:rsid w:val="00074371"/>
    <w:rsid w:val="0007456C"/>
    <w:rsid w:val="00075714"/>
    <w:rsid w:val="00075991"/>
    <w:rsid w:val="00075B1B"/>
    <w:rsid w:val="00075C32"/>
    <w:rsid w:val="00076BA1"/>
    <w:rsid w:val="00076DAF"/>
    <w:rsid w:val="00077CCA"/>
    <w:rsid w:val="00080428"/>
    <w:rsid w:val="00080BBC"/>
    <w:rsid w:val="00080E2A"/>
    <w:rsid w:val="00080F48"/>
    <w:rsid w:val="00081C10"/>
    <w:rsid w:val="00081CB5"/>
    <w:rsid w:val="00082E41"/>
    <w:rsid w:val="0008419E"/>
    <w:rsid w:val="0008446C"/>
    <w:rsid w:val="00084532"/>
    <w:rsid w:val="00084566"/>
    <w:rsid w:val="000859FA"/>
    <w:rsid w:val="00085A1F"/>
    <w:rsid w:val="000862EA"/>
    <w:rsid w:val="00087265"/>
    <w:rsid w:val="000874CD"/>
    <w:rsid w:val="00087E38"/>
    <w:rsid w:val="000903A8"/>
    <w:rsid w:val="000908BB"/>
    <w:rsid w:val="00091395"/>
    <w:rsid w:val="00091F8C"/>
    <w:rsid w:val="000934BE"/>
    <w:rsid w:val="00093CCF"/>
    <w:rsid w:val="00094294"/>
    <w:rsid w:val="000950D4"/>
    <w:rsid w:val="0009597A"/>
    <w:rsid w:val="00097688"/>
    <w:rsid w:val="00097BDA"/>
    <w:rsid w:val="000A0785"/>
    <w:rsid w:val="000A14CF"/>
    <w:rsid w:val="000A19C3"/>
    <w:rsid w:val="000A25A7"/>
    <w:rsid w:val="000A27A7"/>
    <w:rsid w:val="000A2E16"/>
    <w:rsid w:val="000A3FBA"/>
    <w:rsid w:val="000A4197"/>
    <w:rsid w:val="000A4E50"/>
    <w:rsid w:val="000A4E57"/>
    <w:rsid w:val="000A543F"/>
    <w:rsid w:val="000A5DA8"/>
    <w:rsid w:val="000A5FBE"/>
    <w:rsid w:val="000A6593"/>
    <w:rsid w:val="000B095E"/>
    <w:rsid w:val="000B1E3C"/>
    <w:rsid w:val="000B1F19"/>
    <w:rsid w:val="000B348D"/>
    <w:rsid w:val="000B3ADE"/>
    <w:rsid w:val="000B5591"/>
    <w:rsid w:val="000B5D40"/>
    <w:rsid w:val="000B6CBE"/>
    <w:rsid w:val="000B7174"/>
    <w:rsid w:val="000B72EC"/>
    <w:rsid w:val="000C0547"/>
    <w:rsid w:val="000C0E9E"/>
    <w:rsid w:val="000C1AED"/>
    <w:rsid w:val="000C21AC"/>
    <w:rsid w:val="000C221F"/>
    <w:rsid w:val="000C2AAD"/>
    <w:rsid w:val="000C2B75"/>
    <w:rsid w:val="000C2F65"/>
    <w:rsid w:val="000C2FA3"/>
    <w:rsid w:val="000C3A99"/>
    <w:rsid w:val="000C5335"/>
    <w:rsid w:val="000C6948"/>
    <w:rsid w:val="000C6DC1"/>
    <w:rsid w:val="000C6F0A"/>
    <w:rsid w:val="000C7650"/>
    <w:rsid w:val="000D09F7"/>
    <w:rsid w:val="000D0AD5"/>
    <w:rsid w:val="000D1089"/>
    <w:rsid w:val="000D1B9E"/>
    <w:rsid w:val="000D1EBB"/>
    <w:rsid w:val="000D2086"/>
    <w:rsid w:val="000D2137"/>
    <w:rsid w:val="000D21A4"/>
    <w:rsid w:val="000D392E"/>
    <w:rsid w:val="000D4176"/>
    <w:rsid w:val="000D6225"/>
    <w:rsid w:val="000D624E"/>
    <w:rsid w:val="000D69E3"/>
    <w:rsid w:val="000D728C"/>
    <w:rsid w:val="000D7E6F"/>
    <w:rsid w:val="000E022A"/>
    <w:rsid w:val="000E064A"/>
    <w:rsid w:val="000E08A7"/>
    <w:rsid w:val="000E116A"/>
    <w:rsid w:val="000E18CE"/>
    <w:rsid w:val="000E2107"/>
    <w:rsid w:val="000E2388"/>
    <w:rsid w:val="000E23F8"/>
    <w:rsid w:val="000E26E2"/>
    <w:rsid w:val="000E3ED9"/>
    <w:rsid w:val="000E40F3"/>
    <w:rsid w:val="000E44E7"/>
    <w:rsid w:val="000E4F76"/>
    <w:rsid w:val="000E5081"/>
    <w:rsid w:val="000E5467"/>
    <w:rsid w:val="000E5636"/>
    <w:rsid w:val="000E56E6"/>
    <w:rsid w:val="000E602F"/>
    <w:rsid w:val="000E6103"/>
    <w:rsid w:val="000E7118"/>
    <w:rsid w:val="000F069C"/>
    <w:rsid w:val="000F0EDB"/>
    <w:rsid w:val="000F19B2"/>
    <w:rsid w:val="000F1F82"/>
    <w:rsid w:val="000F233B"/>
    <w:rsid w:val="000F3365"/>
    <w:rsid w:val="000F4066"/>
    <w:rsid w:val="000F447C"/>
    <w:rsid w:val="000F49AC"/>
    <w:rsid w:val="000F4BD7"/>
    <w:rsid w:val="000F4E77"/>
    <w:rsid w:val="000F4FE1"/>
    <w:rsid w:val="000F5025"/>
    <w:rsid w:val="000F62C9"/>
    <w:rsid w:val="000F657D"/>
    <w:rsid w:val="000F7FC3"/>
    <w:rsid w:val="001001E1"/>
    <w:rsid w:val="0010128D"/>
    <w:rsid w:val="001016CC"/>
    <w:rsid w:val="00101963"/>
    <w:rsid w:val="00101E27"/>
    <w:rsid w:val="00102520"/>
    <w:rsid w:val="00102906"/>
    <w:rsid w:val="00102D7F"/>
    <w:rsid w:val="00102FA5"/>
    <w:rsid w:val="00104033"/>
    <w:rsid w:val="0010436B"/>
    <w:rsid w:val="00105092"/>
    <w:rsid w:val="0010550B"/>
    <w:rsid w:val="001059DF"/>
    <w:rsid w:val="0010616E"/>
    <w:rsid w:val="00106C0A"/>
    <w:rsid w:val="001076B2"/>
    <w:rsid w:val="00107BEB"/>
    <w:rsid w:val="001103AB"/>
    <w:rsid w:val="00111235"/>
    <w:rsid w:val="0011123C"/>
    <w:rsid w:val="0011139D"/>
    <w:rsid w:val="00111AD9"/>
    <w:rsid w:val="0011214A"/>
    <w:rsid w:val="001128F6"/>
    <w:rsid w:val="0011467E"/>
    <w:rsid w:val="00114E57"/>
    <w:rsid w:val="0011534E"/>
    <w:rsid w:val="00115503"/>
    <w:rsid w:val="001155BB"/>
    <w:rsid w:val="001166F7"/>
    <w:rsid w:val="00116A0A"/>
    <w:rsid w:val="00116CC3"/>
    <w:rsid w:val="00116E2C"/>
    <w:rsid w:val="001178AA"/>
    <w:rsid w:val="00117E89"/>
    <w:rsid w:val="00117F02"/>
    <w:rsid w:val="0012033A"/>
    <w:rsid w:val="00120416"/>
    <w:rsid w:val="001214F9"/>
    <w:rsid w:val="00121AC4"/>
    <w:rsid w:val="00121ED2"/>
    <w:rsid w:val="00122A3D"/>
    <w:rsid w:val="00122CB3"/>
    <w:rsid w:val="001232DE"/>
    <w:rsid w:val="00124F89"/>
    <w:rsid w:val="001250A2"/>
    <w:rsid w:val="001275BF"/>
    <w:rsid w:val="001276AC"/>
    <w:rsid w:val="00127B79"/>
    <w:rsid w:val="001304A1"/>
    <w:rsid w:val="00130921"/>
    <w:rsid w:val="00130D24"/>
    <w:rsid w:val="00131117"/>
    <w:rsid w:val="001311BD"/>
    <w:rsid w:val="00131461"/>
    <w:rsid w:val="00131C40"/>
    <w:rsid w:val="001345B8"/>
    <w:rsid w:val="00134F92"/>
    <w:rsid w:val="001351EF"/>
    <w:rsid w:val="00135341"/>
    <w:rsid w:val="00135673"/>
    <w:rsid w:val="001363F6"/>
    <w:rsid w:val="00136FC0"/>
    <w:rsid w:val="0014086C"/>
    <w:rsid w:val="00140A5B"/>
    <w:rsid w:val="00140E21"/>
    <w:rsid w:val="001421EB"/>
    <w:rsid w:val="0014221C"/>
    <w:rsid w:val="001426FC"/>
    <w:rsid w:val="00144432"/>
    <w:rsid w:val="00145DFD"/>
    <w:rsid w:val="001462B1"/>
    <w:rsid w:val="00146667"/>
    <w:rsid w:val="001470A0"/>
    <w:rsid w:val="001479D6"/>
    <w:rsid w:val="00147E64"/>
    <w:rsid w:val="0015151D"/>
    <w:rsid w:val="00152BD9"/>
    <w:rsid w:val="00153527"/>
    <w:rsid w:val="00153CF4"/>
    <w:rsid w:val="001541EC"/>
    <w:rsid w:val="0015446D"/>
    <w:rsid w:val="00154ABB"/>
    <w:rsid w:val="00155268"/>
    <w:rsid w:val="001562B4"/>
    <w:rsid w:val="001566F2"/>
    <w:rsid w:val="001603DE"/>
    <w:rsid w:val="00161674"/>
    <w:rsid w:val="00162091"/>
    <w:rsid w:val="00162316"/>
    <w:rsid w:val="00162BDA"/>
    <w:rsid w:val="00163451"/>
    <w:rsid w:val="0016350C"/>
    <w:rsid w:val="0016356A"/>
    <w:rsid w:val="00163F8E"/>
    <w:rsid w:val="00164FFA"/>
    <w:rsid w:val="0016554F"/>
    <w:rsid w:val="00166274"/>
    <w:rsid w:val="00170487"/>
    <w:rsid w:val="00170C00"/>
    <w:rsid w:val="001717CF"/>
    <w:rsid w:val="0017278E"/>
    <w:rsid w:val="001727FC"/>
    <w:rsid w:val="00172A27"/>
    <w:rsid w:val="00173692"/>
    <w:rsid w:val="001744CF"/>
    <w:rsid w:val="001766BB"/>
    <w:rsid w:val="00177C38"/>
    <w:rsid w:val="001800FC"/>
    <w:rsid w:val="0018021E"/>
    <w:rsid w:val="001802F6"/>
    <w:rsid w:val="001815DC"/>
    <w:rsid w:val="00184284"/>
    <w:rsid w:val="00184CB8"/>
    <w:rsid w:val="001858BE"/>
    <w:rsid w:val="00185B78"/>
    <w:rsid w:val="00185BA6"/>
    <w:rsid w:val="00186148"/>
    <w:rsid w:val="00186411"/>
    <w:rsid w:val="0018641B"/>
    <w:rsid w:val="00186495"/>
    <w:rsid w:val="001868E7"/>
    <w:rsid w:val="00186A56"/>
    <w:rsid w:val="00187AC7"/>
    <w:rsid w:val="00190833"/>
    <w:rsid w:val="00191596"/>
    <w:rsid w:val="00191714"/>
    <w:rsid w:val="0019175F"/>
    <w:rsid w:val="00192244"/>
    <w:rsid w:val="001925B8"/>
    <w:rsid w:val="00192860"/>
    <w:rsid w:val="00192CC9"/>
    <w:rsid w:val="0019371E"/>
    <w:rsid w:val="00194C61"/>
    <w:rsid w:val="0019579D"/>
    <w:rsid w:val="001963FD"/>
    <w:rsid w:val="00197F55"/>
    <w:rsid w:val="001A060D"/>
    <w:rsid w:val="001A0E26"/>
    <w:rsid w:val="001A11AF"/>
    <w:rsid w:val="001A1905"/>
    <w:rsid w:val="001A1A69"/>
    <w:rsid w:val="001A1E66"/>
    <w:rsid w:val="001A2AB9"/>
    <w:rsid w:val="001A2E40"/>
    <w:rsid w:val="001A43A4"/>
    <w:rsid w:val="001A5ECC"/>
    <w:rsid w:val="001A79B0"/>
    <w:rsid w:val="001A7A26"/>
    <w:rsid w:val="001B0666"/>
    <w:rsid w:val="001B1702"/>
    <w:rsid w:val="001B20B3"/>
    <w:rsid w:val="001B2492"/>
    <w:rsid w:val="001B3B92"/>
    <w:rsid w:val="001B405C"/>
    <w:rsid w:val="001B4CC9"/>
    <w:rsid w:val="001B5201"/>
    <w:rsid w:val="001B5808"/>
    <w:rsid w:val="001B641F"/>
    <w:rsid w:val="001B6C11"/>
    <w:rsid w:val="001B6F53"/>
    <w:rsid w:val="001B7228"/>
    <w:rsid w:val="001B7F60"/>
    <w:rsid w:val="001C044B"/>
    <w:rsid w:val="001C0512"/>
    <w:rsid w:val="001C0680"/>
    <w:rsid w:val="001C08FD"/>
    <w:rsid w:val="001C0E3C"/>
    <w:rsid w:val="001C22C4"/>
    <w:rsid w:val="001C23C4"/>
    <w:rsid w:val="001C3B9D"/>
    <w:rsid w:val="001C4214"/>
    <w:rsid w:val="001C6726"/>
    <w:rsid w:val="001C688E"/>
    <w:rsid w:val="001C6981"/>
    <w:rsid w:val="001C6A63"/>
    <w:rsid w:val="001C6D47"/>
    <w:rsid w:val="001D1431"/>
    <w:rsid w:val="001D14EC"/>
    <w:rsid w:val="001D1B6F"/>
    <w:rsid w:val="001D2014"/>
    <w:rsid w:val="001D23B3"/>
    <w:rsid w:val="001D25D7"/>
    <w:rsid w:val="001D2FD0"/>
    <w:rsid w:val="001D35B6"/>
    <w:rsid w:val="001D3F47"/>
    <w:rsid w:val="001D44CA"/>
    <w:rsid w:val="001D4B32"/>
    <w:rsid w:val="001D4D5D"/>
    <w:rsid w:val="001D5B70"/>
    <w:rsid w:val="001D6389"/>
    <w:rsid w:val="001E26FD"/>
    <w:rsid w:val="001E3DA0"/>
    <w:rsid w:val="001E52E2"/>
    <w:rsid w:val="001E5E2E"/>
    <w:rsid w:val="001E616B"/>
    <w:rsid w:val="001E6F90"/>
    <w:rsid w:val="001E70CD"/>
    <w:rsid w:val="001E71F7"/>
    <w:rsid w:val="001E774B"/>
    <w:rsid w:val="001F073B"/>
    <w:rsid w:val="001F0996"/>
    <w:rsid w:val="001F0F44"/>
    <w:rsid w:val="001F1BCA"/>
    <w:rsid w:val="001F204C"/>
    <w:rsid w:val="001F23F4"/>
    <w:rsid w:val="001F2B01"/>
    <w:rsid w:val="001F2B2F"/>
    <w:rsid w:val="001F4012"/>
    <w:rsid w:val="001F4514"/>
    <w:rsid w:val="001F4E75"/>
    <w:rsid w:val="001F5134"/>
    <w:rsid w:val="001F7A9E"/>
    <w:rsid w:val="002005EA"/>
    <w:rsid w:val="00200E6C"/>
    <w:rsid w:val="002015DE"/>
    <w:rsid w:val="00201BFF"/>
    <w:rsid w:val="00202D8B"/>
    <w:rsid w:val="0020497B"/>
    <w:rsid w:val="00205DD7"/>
    <w:rsid w:val="002066AA"/>
    <w:rsid w:val="00206A31"/>
    <w:rsid w:val="00206DA7"/>
    <w:rsid w:val="00207056"/>
    <w:rsid w:val="002071C9"/>
    <w:rsid w:val="002079D8"/>
    <w:rsid w:val="002079E9"/>
    <w:rsid w:val="00211065"/>
    <w:rsid w:val="00211484"/>
    <w:rsid w:val="00212417"/>
    <w:rsid w:val="00212E87"/>
    <w:rsid w:val="00214449"/>
    <w:rsid w:val="00214831"/>
    <w:rsid w:val="00214860"/>
    <w:rsid w:val="002156EC"/>
    <w:rsid w:val="002166BA"/>
    <w:rsid w:val="00216739"/>
    <w:rsid w:val="00217411"/>
    <w:rsid w:val="00217B0D"/>
    <w:rsid w:val="00220069"/>
    <w:rsid w:val="00220DCA"/>
    <w:rsid w:val="00221542"/>
    <w:rsid w:val="00221B24"/>
    <w:rsid w:val="00221F82"/>
    <w:rsid w:val="002239F6"/>
    <w:rsid w:val="00223B0B"/>
    <w:rsid w:val="00223E3B"/>
    <w:rsid w:val="00225172"/>
    <w:rsid w:val="002251B8"/>
    <w:rsid w:val="00225B71"/>
    <w:rsid w:val="0022657C"/>
    <w:rsid w:val="00226B2B"/>
    <w:rsid w:val="00227632"/>
    <w:rsid w:val="00227C49"/>
    <w:rsid w:val="00230444"/>
    <w:rsid w:val="0023058A"/>
    <w:rsid w:val="00230E83"/>
    <w:rsid w:val="0023255D"/>
    <w:rsid w:val="00232D23"/>
    <w:rsid w:val="00233990"/>
    <w:rsid w:val="00233B4F"/>
    <w:rsid w:val="00233FF0"/>
    <w:rsid w:val="00234E8A"/>
    <w:rsid w:val="002357D5"/>
    <w:rsid w:val="00236331"/>
    <w:rsid w:val="002368AF"/>
    <w:rsid w:val="00237549"/>
    <w:rsid w:val="00240391"/>
    <w:rsid w:val="00240837"/>
    <w:rsid w:val="002409D5"/>
    <w:rsid w:val="00240B20"/>
    <w:rsid w:val="0024161E"/>
    <w:rsid w:val="00243446"/>
    <w:rsid w:val="00243CD8"/>
    <w:rsid w:val="00244EA2"/>
    <w:rsid w:val="00246285"/>
    <w:rsid w:val="00246922"/>
    <w:rsid w:val="0024754F"/>
    <w:rsid w:val="0024774E"/>
    <w:rsid w:val="00247929"/>
    <w:rsid w:val="00251010"/>
    <w:rsid w:val="00251D72"/>
    <w:rsid w:val="0025216D"/>
    <w:rsid w:val="002526A3"/>
    <w:rsid w:val="00253018"/>
    <w:rsid w:val="00253914"/>
    <w:rsid w:val="00253E91"/>
    <w:rsid w:val="00253FE0"/>
    <w:rsid w:val="00253FEF"/>
    <w:rsid w:val="00254927"/>
    <w:rsid w:val="00255427"/>
    <w:rsid w:val="00255BC7"/>
    <w:rsid w:val="00255D9B"/>
    <w:rsid w:val="00256A49"/>
    <w:rsid w:val="002617D2"/>
    <w:rsid w:val="0026198F"/>
    <w:rsid w:val="00262A04"/>
    <w:rsid w:val="00262E83"/>
    <w:rsid w:val="0026309B"/>
    <w:rsid w:val="002635AE"/>
    <w:rsid w:val="00266E48"/>
    <w:rsid w:val="00270004"/>
    <w:rsid w:val="00271A18"/>
    <w:rsid w:val="00272996"/>
    <w:rsid w:val="00272DBF"/>
    <w:rsid w:val="00273490"/>
    <w:rsid w:val="00275F0F"/>
    <w:rsid w:val="00276DF8"/>
    <w:rsid w:val="00276FF3"/>
    <w:rsid w:val="00277529"/>
    <w:rsid w:val="00277AFB"/>
    <w:rsid w:val="0028140F"/>
    <w:rsid w:val="00281D97"/>
    <w:rsid w:val="00283070"/>
    <w:rsid w:val="00283DB5"/>
    <w:rsid w:val="0028420C"/>
    <w:rsid w:val="00284239"/>
    <w:rsid w:val="002852EE"/>
    <w:rsid w:val="00285D78"/>
    <w:rsid w:val="002872A9"/>
    <w:rsid w:val="002927D5"/>
    <w:rsid w:val="00293805"/>
    <w:rsid w:val="00294614"/>
    <w:rsid w:val="0029478C"/>
    <w:rsid w:val="002948A2"/>
    <w:rsid w:val="00294BC5"/>
    <w:rsid w:val="00294F5B"/>
    <w:rsid w:val="002958ED"/>
    <w:rsid w:val="00296FE6"/>
    <w:rsid w:val="00297689"/>
    <w:rsid w:val="002977E4"/>
    <w:rsid w:val="00297B74"/>
    <w:rsid w:val="00297E5D"/>
    <w:rsid w:val="002A04CC"/>
    <w:rsid w:val="002A0920"/>
    <w:rsid w:val="002A1E42"/>
    <w:rsid w:val="002A3581"/>
    <w:rsid w:val="002A35FB"/>
    <w:rsid w:val="002A3BF7"/>
    <w:rsid w:val="002A3E47"/>
    <w:rsid w:val="002A3EA8"/>
    <w:rsid w:val="002A4E45"/>
    <w:rsid w:val="002A4EE0"/>
    <w:rsid w:val="002A58C1"/>
    <w:rsid w:val="002A59F3"/>
    <w:rsid w:val="002A5AF0"/>
    <w:rsid w:val="002A7237"/>
    <w:rsid w:val="002A790C"/>
    <w:rsid w:val="002B0370"/>
    <w:rsid w:val="002B061C"/>
    <w:rsid w:val="002B0623"/>
    <w:rsid w:val="002B0A9F"/>
    <w:rsid w:val="002B10DF"/>
    <w:rsid w:val="002B16D5"/>
    <w:rsid w:val="002B1CBF"/>
    <w:rsid w:val="002B1F1C"/>
    <w:rsid w:val="002B2CE4"/>
    <w:rsid w:val="002B2FB2"/>
    <w:rsid w:val="002B41E4"/>
    <w:rsid w:val="002B43E4"/>
    <w:rsid w:val="002B4DE8"/>
    <w:rsid w:val="002B5E9F"/>
    <w:rsid w:val="002B605D"/>
    <w:rsid w:val="002B6612"/>
    <w:rsid w:val="002B726A"/>
    <w:rsid w:val="002B73CD"/>
    <w:rsid w:val="002B7D2F"/>
    <w:rsid w:val="002B7F9B"/>
    <w:rsid w:val="002C000B"/>
    <w:rsid w:val="002C0204"/>
    <w:rsid w:val="002C0278"/>
    <w:rsid w:val="002C1219"/>
    <w:rsid w:val="002C2291"/>
    <w:rsid w:val="002C27B7"/>
    <w:rsid w:val="002C2E89"/>
    <w:rsid w:val="002C44F2"/>
    <w:rsid w:val="002C5001"/>
    <w:rsid w:val="002C5AE6"/>
    <w:rsid w:val="002C762A"/>
    <w:rsid w:val="002D0862"/>
    <w:rsid w:val="002D0ADB"/>
    <w:rsid w:val="002D15E0"/>
    <w:rsid w:val="002D162A"/>
    <w:rsid w:val="002D202E"/>
    <w:rsid w:val="002D22F8"/>
    <w:rsid w:val="002D37C4"/>
    <w:rsid w:val="002D41B1"/>
    <w:rsid w:val="002D52F6"/>
    <w:rsid w:val="002D5831"/>
    <w:rsid w:val="002D716C"/>
    <w:rsid w:val="002E192F"/>
    <w:rsid w:val="002E2D0E"/>
    <w:rsid w:val="002E36AD"/>
    <w:rsid w:val="002E64F6"/>
    <w:rsid w:val="002E7334"/>
    <w:rsid w:val="002F0ACF"/>
    <w:rsid w:val="002F0F13"/>
    <w:rsid w:val="002F0FE7"/>
    <w:rsid w:val="002F336B"/>
    <w:rsid w:val="002F35B6"/>
    <w:rsid w:val="002F36A1"/>
    <w:rsid w:val="002F3B1D"/>
    <w:rsid w:val="002F440D"/>
    <w:rsid w:val="002F6935"/>
    <w:rsid w:val="002F6C51"/>
    <w:rsid w:val="002F7178"/>
    <w:rsid w:val="00300CDC"/>
    <w:rsid w:val="00300EF5"/>
    <w:rsid w:val="00300FDF"/>
    <w:rsid w:val="003016F9"/>
    <w:rsid w:val="00301712"/>
    <w:rsid w:val="00302E9C"/>
    <w:rsid w:val="00303F9A"/>
    <w:rsid w:val="00304647"/>
    <w:rsid w:val="003053E6"/>
    <w:rsid w:val="00305D16"/>
    <w:rsid w:val="00305F6D"/>
    <w:rsid w:val="003071E1"/>
    <w:rsid w:val="00307675"/>
    <w:rsid w:val="00307BB7"/>
    <w:rsid w:val="00307F36"/>
    <w:rsid w:val="00310580"/>
    <w:rsid w:val="003122FB"/>
    <w:rsid w:val="0031245F"/>
    <w:rsid w:val="00312935"/>
    <w:rsid w:val="00312BB8"/>
    <w:rsid w:val="00312D9D"/>
    <w:rsid w:val="00312E6E"/>
    <w:rsid w:val="00312EE4"/>
    <w:rsid w:val="0031332D"/>
    <w:rsid w:val="00313988"/>
    <w:rsid w:val="00313B4E"/>
    <w:rsid w:val="00314044"/>
    <w:rsid w:val="003147C5"/>
    <w:rsid w:val="00314B7C"/>
    <w:rsid w:val="00314DDD"/>
    <w:rsid w:val="00314ED1"/>
    <w:rsid w:val="00314F43"/>
    <w:rsid w:val="00315087"/>
    <w:rsid w:val="003151A8"/>
    <w:rsid w:val="00316819"/>
    <w:rsid w:val="00317624"/>
    <w:rsid w:val="00317653"/>
    <w:rsid w:val="00321635"/>
    <w:rsid w:val="00321C56"/>
    <w:rsid w:val="00321DC2"/>
    <w:rsid w:val="00322176"/>
    <w:rsid w:val="00322268"/>
    <w:rsid w:val="00325CA6"/>
    <w:rsid w:val="00326B4F"/>
    <w:rsid w:val="00326D5D"/>
    <w:rsid w:val="0032746A"/>
    <w:rsid w:val="0032785A"/>
    <w:rsid w:val="00330E49"/>
    <w:rsid w:val="00330F85"/>
    <w:rsid w:val="00331090"/>
    <w:rsid w:val="00332340"/>
    <w:rsid w:val="00332FAD"/>
    <w:rsid w:val="00333772"/>
    <w:rsid w:val="00333C6F"/>
    <w:rsid w:val="00333F07"/>
    <w:rsid w:val="00333F9A"/>
    <w:rsid w:val="0033470D"/>
    <w:rsid w:val="00336699"/>
    <w:rsid w:val="00336A8A"/>
    <w:rsid w:val="00336FCD"/>
    <w:rsid w:val="003372CF"/>
    <w:rsid w:val="00337E6B"/>
    <w:rsid w:val="003406CD"/>
    <w:rsid w:val="00341B68"/>
    <w:rsid w:val="00342599"/>
    <w:rsid w:val="00342EE4"/>
    <w:rsid w:val="0034390E"/>
    <w:rsid w:val="00344AB3"/>
    <w:rsid w:val="00344FD1"/>
    <w:rsid w:val="00345A61"/>
    <w:rsid w:val="00345A7A"/>
    <w:rsid w:val="00345E5B"/>
    <w:rsid w:val="00346E60"/>
    <w:rsid w:val="00346E6A"/>
    <w:rsid w:val="0034790E"/>
    <w:rsid w:val="0035067B"/>
    <w:rsid w:val="00350995"/>
    <w:rsid w:val="00350B86"/>
    <w:rsid w:val="003513E8"/>
    <w:rsid w:val="00352950"/>
    <w:rsid w:val="00353BEB"/>
    <w:rsid w:val="003541EF"/>
    <w:rsid w:val="00354F29"/>
    <w:rsid w:val="00355653"/>
    <w:rsid w:val="00355E59"/>
    <w:rsid w:val="0035613F"/>
    <w:rsid w:val="00356418"/>
    <w:rsid w:val="003571CB"/>
    <w:rsid w:val="00362781"/>
    <w:rsid w:val="0036368C"/>
    <w:rsid w:val="00363828"/>
    <w:rsid w:val="003644F5"/>
    <w:rsid w:val="00364D05"/>
    <w:rsid w:val="003708EE"/>
    <w:rsid w:val="00370AB3"/>
    <w:rsid w:val="00370CF9"/>
    <w:rsid w:val="0037138B"/>
    <w:rsid w:val="00371650"/>
    <w:rsid w:val="00371BDC"/>
    <w:rsid w:val="00371DAD"/>
    <w:rsid w:val="00373B25"/>
    <w:rsid w:val="00373C19"/>
    <w:rsid w:val="00373C6B"/>
    <w:rsid w:val="00373E50"/>
    <w:rsid w:val="00373F20"/>
    <w:rsid w:val="00374566"/>
    <w:rsid w:val="00374B42"/>
    <w:rsid w:val="0037609F"/>
    <w:rsid w:val="003761F2"/>
    <w:rsid w:val="0037644D"/>
    <w:rsid w:val="0037674E"/>
    <w:rsid w:val="00376AC3"/>
    <w:rsid w:val="003770AB"/>
    <w:rsid w:val="00377519"/>
    <w:rsid w:val="00377CEF"/>
    <w:rsid w:val="0038073B"/>
    <w:rsid w:val="00380DB4"/>
    <w:rsid w:val="0038290E"/>
    <w:rsid w:val="00382D7E"/>
    <w:rsid w:val="00383135"/>
    <w:rsid w:val="00383881"/>
    <w:rsid w:val="00384791"/>
    <w:rsid w:val="00384D26"/>
    <w:rsid w:val="00385AFB"/>
    <w:rsid w:val="003864A8"/>
    <w:rsid w:val="00386BAD"/>
    <w:rsid w:val="00390041"/>
    <w:rsid w:val="00390AD5"/>
    <w:rsid w:val="00390F45"/>
    <w:rsid w:val="00391231"/>
    <w:rsid w:val="003916C3"/>
    <w:rsid w:val="00392987"/>
    <w:rsid w:val="00392D30"/>
    <w:rsid w:val="0039307D"/>
    <w:rsid w:val="00396DC8"/>
    <w:rsid w:val="0039716E"/>
    <w:rsid w:val="00397454"/>
    <w:rsid w:val="003A05CF"/>
    <w:rsid w:val="003A1223"/>
    <w:rsid w:val="003A15BF"/>
    <w:rsid w:val="003A2272"/>
    <w:rsid w:val="003A2420"/>
    <w:rsid w:val="003A3679"/>
    <w:rsid w:val="003A5FEE"/>
    <w:rsid w:val="003A6FCA"/>
    <w:rsid w:val="003A751E"/>
    <w:rsid w:val="003A77DC"/>
    <w:rsid w:val="003B056D"/>
    <w:rsid w:val="003B093D"/>
    <w:rsid w:val="003B186C"/>
    <w:rsid w:val="003B1F8A"/>
    <w:rsid w:val="003B21D7"/>
    <w:rsid w:val="003B2B0B"/>
    <w:rsid w:val="003B3F7E"/>
    <w:rsid w:val="003B4A48"/>
    <w:rsid w:val="003B5E53"/>
    <w:rsid w:val="003B7493"/>
    <w:rsid w:val="003B7896"/>
    <w:rsid w:val="003C0104"/>
    <w:rsid w:val="003C0599"/>
    <w:rsid w:val="003C07CE"/>
    <w:rsid w:val="003C0FEC"/>
    <w:rsid w:val="003C1065"/>
    <w:rsid w:val="003C265D"/>
    <w:rsid w:val="003C3494"/>
    <w:rsid w:val="003C3D0C"/>
    <w:rsid w:val="003C428F"/>
    <w:rsid w:val="003C4951"/>
    <w:rsid w:val="003C56BF"/>
    <w:rsid w:val="003C56ED"/>
    <w:rsid w:val="003C5DEC"/>
    <w:rsid w:val="003C60B0"/>
    <w:rsid w:val="003C6962"/>
    <w:rsid w:val="003C72DF"/>
    <w:rsid w:val="003D06A8"/>
    <w:rsid w:val="003D0BFA"/>
    <w:rsid w:val="003D16AA"/>
    <w:rsid w:val="003D185A"/>
    <w:rsid w:val="003D219A"/>
    <w:rsid w:val="003D220A"/>
    <w:rsid w:val="003D2778"/>
    <w:rsid w:val="003D2EAA"/>
    <w:rsid w:val="003D37BC"/>
    <w:rsid w:val="003D41B9"/>
    <w:rsid w:val="003D5727"/>
    <w:rsid w:val="003D57C2"/>
    <w:rsid w:val="003D7128"/>
    <w:rsid w:val="003E09EF"/>
    <w:rsid w:val="003E148B"/>
    <w:rsid w:val="003E3B6E"/>
    <w:rsid w:val="003E425C"/>
    <w:rsid w:val="003E4809"/>
    <w:rsid w:val="003E4833"/>
    <w:rsid w:val="003E4CE9"/>
    <w:rsid w:val="003E54EE"/>
    <w:rsid w:val="003E5538"/>
    <w:rsid w:val="003E5786"/>
    <w:rsid w:val="003E7346"/>
    <w:rsid w:val="003E7912"/>
    <w:rsid w:val="003F03FD"/>
    <w:rsid w:val="003F0ECA"/>
    <w:rsid w:val="003F1124"/>
    <w:rsid w:val="003F14B7"/>
    <w:rsid w:val="003F3B7C"/>
    <w:rsid w:val="003F4E58"/>
    <w:rsid w:val="003F5E37"/>
    <w:rsid w:val="003F7451"/>
    <w:rsid w:val="003F7469"/>
    <w:rsid w:val="003F797D"/>
    <w:rsid w:val="004008D0"/>
    <w:rsid w:val="00402057"/>
    <w:rsid w:val="00402472"/>
    <w:rsid w:val="004025B1"/>
    <w:rsid w:val="004046B4"/>
    <w:rsid w:val="004058F4"/>
    <w:rsid w:val="00405DBA"/>
    <w:rsid w:val="00406A73"/>
    <w:rsid w:val="00407D6C"/>
    <w:rsid w:val="00407E6E"/>
    <w:rsid w:val="0041178E"/>
    <w:rsid w:val="0041179F"/>
    <w:rsid w:val="00412831"/>
    <w:rsid w:val="00413874"/>
    <w:rsid w:val="00413C1D"/>
    <w:rsid w:val="00414ECE"/>
    <w:rsid w:val="00416A51"/>
    <w:rsid w:val="00417282"/>
    <w:rsid w:val="004173B2"/>
    <w:rsid w:val="00417838"/>
    <w:rsid w:val="00417E5D"/>
    <w:rsid w:val="0042072D"/>
    <w:rsid w:val="0042111E"/>
    <w:rsid w:val="00421127"/>
    <w:rsid w:val="004214A0"/>
    <w:rsid w:val="00421E2C"/>
    <w:rsid w:val="00422056"/>
    <w:rsid w:val="004222A2"/>
    <w:rsid w:val="00422F17"/>
    <w:rsid w:val="00423404"/>
    <w:rsid w:val="00423605"/>
    <w:rsid w:val="00423960"/>
    <w:rsid w:val="00424279"/>
    <w:rsid w:val="00424704"/>
    <w:rsid w:val="00424760"/>
    <w:rsid w:val="00424C38"/>
    <w:rsid w:val="00424D75"/>
    <w:rsid w:val="00425EAC"/>
    <w:rsid w:val="004262D7"/>
    <w:rsid w:val="00426B55"/>
    <w:rsid w:val="00426D4D"/>
    <w:rsid w:val="0042748C"/>
    <w:rsid w:val="00427F5F"/>
    <w:rsid w:val="0043135D"/>
    <w:rsid w:val="0043183B"/>
    <w:rsid w:val="00431AE2"/>
    <w:rsid w:val="00431AFA"/>
    <w:rsid w:val="00431B27"/>
    <w:rsid w:val="004327CF"/>
    <w:rsid w:val="0043374E"/>
    <w:rsid w:val="00433BD1"/>
    <w:rsid w:val="00436795"/>
    <w:rsid w:val="00437B11"/>
    <w:rsid w:val="004401D7"/>
    <w:rsid w:val="0044037B"/>
    <w:rsid w:val="00440F9D"/>
    <w:rsid w:val="004416AD"/>
    <w:rsid w:val="00441906"/>
    <w:rsid w:val="00441AD4"/>
    <w:rsid w:val="00441B31"/>
    <w:rsid w:val="00443624"/>
    <w:rsid w:val="00444511"/>
    <w:rsid w:val="00444B05"/>
    <w:rsid w:val="00444E2A"/>
    <w:rsid w:val="00444FC1"/>
    <w:rsid w:val="0044502D"/>
    <w:rsid w:val="004450B0"/>
    <w:rsid w:val="0044554B"/>
    <w:rsid w:val="0044674B"/>
    <w:rsid w:val="00446C38"/>
    <w:rsid w:val="00446E50"/>
    <w:rsid w:val="004470EA"/>
    <w:rsid w:val="004500BF"/>
    <w:rsid w:val="004500ED"/>
    <w:rsid w:val="00450AAD"/>
    <w:rsid w:val="00450B98"/>
    <w:rsid w:val="00450F6F"/>
    <w:rsid w:val="00451162"/>
    <w:rsid w:val="004517B0"/>
    <w:rsid w:val="004524BD"/>
    <w:rsid w:val="00452FAB"/>
    <w:rsid w:val="00453330"/>
    <w:rsid w:val="00453EAA"/>
    <w:rsid w:val="00454443"/>
    <w:rsid w:val="00455710"/>
    <w:rsid w:val="00455939"/>
    <w:rsid w:val="00457E79"/>
    <w:rsid w:val="0046197D"/>
    <w:rsid w:val="00461E32"/>
    <w:rsid w:val="004621AD"/>
    <w:rsid w:val="004623BB"/>
    <w:rsid w:val="004625F0"/>
    <w:rsid w:val="004631EC"/>
    <w:rsid w:val="004638B2"/>
    <w:rsid w:val="004642CC"/>
    <w:rsid w:val="00464548"/>
    <w:rsid w:val="004652E6"/>
    <w:rsid w:val="004653F2"/>
    <w:rsid w:val="0046604B"/>
    <w:rsid w:val="00466277"/>
    <w:rsid w:val="0046685F"/>
    <w:rsid w:val="00466C4F"/>
    <w:rsid w:val="00467313"/>
    <w:rsid w:val="00467B12"/>
    <w:rsid w:val="004705C7"/>
    <w:rsid w:val="0047102C"/>
    <w:rsid w:val="00471056"/>
    <w:rsid w:val="00472D96"/>
    <w:rsid w:val="00472EC5"/>
    <w:rsid w:val="00473FF5"/>
    <w:rsid w:val="0047530A"/>
    <w:rsid w:val="0047557D"/>
    <w:rsid w:val="004759FE"/>
    <w:rsid w:val="00475EE0"/>
    <w:rsid w:val="0047678C"/>
    <w:rsid w:val="00477DC8"/>
    <w:rsid w:val="0048081E"/>
    <w:rsid w:val="00480CF7"/>
    <w:rsid w:val="00481B84"/>
    <w:rsid w:val="004821B5"/>
    <w:rsid w:val="004826D4"/>
    <w:rsid w:val="00482C10"/>
    <w:rsid w:val="00485819"/>
    <w:rsid w:val="004860F5"/>
    <w:rsid w:val="00486B4A"/>
    <w:rsid w:val="00487665"/>
    <w:rsid w:val="00490178"/>
    <w:rsid w:val="00490464"/>
    <w:rsid w:val="0049117E"/>
    <w:rsid w:val="00491539"/>
    <w:rsid w:val="00491C8F"/>
    <w:rsid w:val="00492092"/>
    <w:rsid w:val="0049329D"/>
    <w:rsid w:val="004945DA"/>
    <w:rsid w:val="0049493B"/>
    <w:rsid w:val="00496E7B"/>
    <w:rsid w:val="00496ED5"/>
    <w:rsid w:val="004973ED"/>
    <w:rsid w:val="004A0320"/>
    <w:rsid w:val="004A0E37"/>
    <w:rsid w:val="004A221C"/>
    <w:rsid w:val="004A2F7D"/>
    <w:rsid w:val="004A367D"/>
    <w:rsid w:val="004A3D7C"/>
    <w:rsid w:val="004A43FD"/>
    <w:rsid w:val="004A4C0D"/>
    <w:rsid w:val="004A4C8A"/>
    <w:rsid w:val="004A55B0"/>
    <w:rsid w:val="004A64D3"/>
    <w:rsid w:val="004A6D87"/>
    <w:rsid w:val="004B032E"/>
    <w:rsid w:val="004B1B8C"/>
    <w:rsid w:val="004B1FC7"/>
    <w:rsid w:val="004B269E"/>
    <w:rsid w:val="004B26C3"/>
    <w:rsid w:val="004B2AF8"/>
    <w:rsid w:val="004B371C"/>
    <w:rsid w:val="004B4509"/>
    <w:rsid w:val="004B5123"/>
    <w:rsid w:val="004B5343"/>
    <w:rsid w:val="004B54AE"/>
    <w:rsid w:val="004B5567"/>
    <w:rsid w:val="004B603B"/>
    <w:rsid w:val="004B641F"/>
    <w:rsid w:val="004B649A"/>
    <w:rsid w:val="004B66B7"/>
    <w:rsid w:val="004B6C46"/>
    <w:rsid w:val="004B6CF8"/>
    <w:rsid w:val="004B6D29"/>
    <w:rsid w:val="004B79C2"/>
    <w:rsid w:val="004C0A47"/>
    <w:rsid w:val="004C0DD1"/>
    <w:rsid w:val="004C1E94"/>
    <w:rsid w:val="004C226F"/>
    <w:rsid w:val="004C2FB2"/>
    <w:rsid w:val="004C3C7A"/>
    <w:rsid w:val="004C3CF0"/>
    <w:rsid w:val="004C4F98"/>
    <w:rsid w:val="004C5F8E"/>
    <w:rsid w:val="004C66EC"/>
    <w:rsid w:val="004C6D6D"/>
    <w:rsid w:val="004C6DBF"/>
    <w:rsid w:val="004C7749"/>
    <w:rsid w:val="004C7A87"/>
    <w:rsid w:val="004C7FFC"/>
    <w:rsid w:val="004D062F"/>
    <w:rsid w:val="004D175B"/>
    <w:rsid w:val="004D246A"/>
    <w:rsid w:val="004D2E00"/>
    <w:rsid w:val="004D4CAA"/>
    <w:rsid w:val="004D4D7D"/>
    <w:rsid w:val="004D55B4"/>
    <w:rsid w:val="004D6E74"/>
    <w:rsid w:val="004D79B1"/>
    <w:rsid w:val="004D7B5C"/>
    <w:rsid w:val="004E2CD2"/>
    <w:rsid w:val="004E2CEE"/>
    <w:rsid w:val="004E2FC2"/>
    <w:rsid w:val="004E34F5"/>
    <w:rsid w:val="004E354B"/>
    <w:rsid w:val="004E4E07"/>
    <w:rsid w:val="004E508C"/>
    <w:rsid w:val="004E5697"/>
    <w:rsid w:val="004E6DFA"/>
    <w:rsid w:val="004E73A7"/>
    <w:rsid w:val="004F0948"/>
    <w:rsid w:val="004F0D42"/>
    <w:rsid w:val="004F0E8A"/>
    <w:rsid w:val="004F0E94"/>
    <w:rsid w:val="004F1151"/>
    <w:rsid w:val="004F123D"/>
    <w:rsid w:val="004F2775"/>
    <w:rsid w:val="004F2929"/>
    <w:rsid w:val="004F305C"/>
    <w:rsid w:val="004F331D"/>
    <w:rsid w:val="004F3541"/>
    <w:rsid w:val="004F3F7A"/>
    <w:rsid w:val="004F4970"/>
    <w:rsid w:val="004F4D56"/>
    <w:rsid w:val="004F4E0D"/>
    <w:rsid w:val="004F58C4"/>
    <w:rsid w:val="004F5A62"/>
    <w:rsid w:val="004F6000"/>
    <w:rsid w:val="004F72BE"/>
    <w:rsid w:val="004F7576"/>
    <w:rsid w:val="004F7CEB"/>
    <w:rsid w:val="004F7EC5"/>
    <w:rsid w:val="00500062"/>
    <w:rsid w:val="00500071"/>
    <w:rsid w:val="005008F8"/>
    <w:rsid w:val="0050091A"/>
    <w:rsid w:val="0050111E"/>
    <w:rsid w:val="005024E7"/>
    <w:rsid w:val="00502B42"/>
    <w:rsid w:val="0050322E"/>
    <w:rsid w:val="005032A4"/>
    <w:rsid w:val="00503B02"/>
    <w:rsid w:val="0050432B"/>
    <w:rsid w:val="005048F2"/>
    <w:rsid w:val="00504E65"/>
    <w:rsid w:val="00505378"/>
    <w:rsid w:val="00505AB8"/>
    <w:rsid w:val="00506ECB"/>
    <w:rsid w:val="00507108"/>
    <w:rsid w:val="005103D0"/>
    <w:rsid w:val="00510414"/>
    <w:rsid w:val="00510CD6"/>
    <w:rsid w:val="00511024"/>
    <w:rsid w:val="00511419"/>
    <w:rsid w:val="00511816"/>
    <w:rsid w:val="00511FDE"/>
    <w:rsid w:val="00512CF3"/>
    <w:rsid w:val="00513694"/>
    <w:rsid w:val="005149BA"/>
    <w:rsid w:val="00514E7D"/>
    <w:rsid w:val="00516DC8"/>
    <w:rsid w:val="00516F97"/>
    <w:rsid w:val="00521478"/>
    <w:rsid w:val="005218AF"/>
    <w:rsid w:val="00522181"/>
    <w:rsid w:val="00522D39"/>
    <w:rsid w:val="00523963"/>
    <w:rsid w:val="00523B62"/>
    <w:rsid w:val="00523D04"/>
    <w:rsid w:val="00523F38"/>
    <w:rsid w:val="0052434D"/>
    <w:rsid w:val="005243D6"/>
    <w:rsid w:val="00524D72"/>
    <w:rsid w:val="00524D81"/>
    <w:rsid w:val="00525ADE"/>
    <w:rsid w:val="00525C68"/>
    <w:rsid w:val="0052641A"/>
    <w:rsid w:val="00526A9C"/>
    <w:rsid w:val="00526ACC"/>
    <w:rsid w:val="00526D7C"/>
    <w:rsid w:val="00526E20"/>
    <w:rsid w:val="00530822"/>
    <w:rsid w:val="0053104D"/>
    <w:rsid w:val="00531E63"/>
    <w:rsid w:val="0053304A"/>
    <w:rsid w:val="0053547B"/>
    <w:rsid w:val="005367EA"/>
    <w:rsid w:val="00536A89"/>
    <w:rsid w:val="00536C51"/>
    <w:rsid w:val="00537945"/>
    <w:rsid w:val="00537DBA"/>
    <w:rsid w:val="005405A6"/>
    <w:rsid w:val="005418D0"/>
    <w:rsid w:val="00541F14"/>
    <w:rsid w:val="0054238A"/>
    <w:rsid w:val="00542436"/>
    <w:rsid w:val="00542D36"/>
    <w:rsid w:val="0054399E"/>
    <w:rsid w:val="00543EDC"/>
    <w:rsid w:val="00544A69"/>
    <w:rsid w:val="00545753"/>
    <w:rsid w:val="00545AB2"/>
    <w:rsid w:val="005463E8"/>
    <w:rsid w:val="005478BF"/>
    <w:rsid w:val="00551524"/>
    <w:rsid w:val="00552C03"/>
    <w:rsid w:val="00553A83"/>
    <w:rsid w:val="005545A8"/>
    <w:rsid w:val="0055460D"/>
    <w:rsid w:val="00555749"/>
    <w:rsid w:val="00555AC1"/>
    <w:rsid w:val="00556DC5"/>
    <w:rsid w:val="00556EBA"/>
    <w:rsid w:val="005573F5"/>
    <w:rsid w:val="005603B9"/>
    <w:rsid w:val="00560A7F"/>
    <w:rsid w:val="00561852"/>
    <w:rsid w:val="00561B98"/>
    <w:rsid w:val="00561D93"/>
    <w:rsid w:val="00561FC8"/>
    <w:rsid w:val="00562382"/>
    <w:rsid w:val="005638D7"/>
    <w:rsid w:val="00564758"/>
    <w:rsid w:val="005649A3"/>
    <w:rsid w:val="00564F52"/>
    <w:rsid w:val="00565AB0"/>
    <w:rsid w:val="00565FC7"/>
    <w:rsid w:val="0056664C"/>
    <w:rsid w:val="005669C5"/>
    <w:rsid w:val="00567268"/>
    <w:rsid w:val="0056769A"/>
    <w:rsid w:val="00567BC0"/>
    <w:rsid w:val="0057044D"/>
    <w:rsid w:val="00570A04"/>
    <w:rsid w:val="00570ADF"/>
    <w:rsid w:val="005710D7"/>
    <w:rsid w:val="00571C78"/>
    <w:rsid w:val="00572C01"/>
    <w:rsid w:val="00572FC4"/>
    <w:rsid w:val="005731EF"/>
    <w:rsid w:val="00573BAF"/>
    <w:rsid w:val="00574B25"/>
    <w:rsid w:val="00575481"/>
    <w:rsid w:val="005755C9"/>
    <w:rsid w:val="00575CA8"/>
    <w:rsid w:val="00577C3C"/>
    <w:rsid w:val="005800D9"/>
    <w:rsid w:val="005807EC"/>
    <w:rsid w:val="005810CA"/>
    <w:rsid w:val="0058188D"/>
    <w:rsid w:val="00582559"/>
    <w:rsid w:val="00582D74"/>
    <w:rsid w:val="00582DE0"/>
    <w:rsid w:val="00584B68"/>
    <w:rsid w:val="00586CE3"/>
    <w:rsid w:val="005875C8"/>
    <w:rsid w:val="005878BF"/>
    <w:rsid w:val="00587DB2"/>
    <w:rsid w:val="00592127"/>
    <w:rsid w:val="005924F1"/>
    <w:rsid w:val="0059309A"/>
    <w:rsid w:val="005943F5"/>
    <w:rsid w:val="005944CB"/>
    <w:rsid w:val="00594A6D"/>
    <w:rsid w:val="00595494"/>
    <w:rsid w:val="005956C4"/>
    <w:rsid w:val="005958EB"/>
    <w:rsid w:val="00596DCA"/>
    <w:rsid w:val="00596FE8"/>
    <w:rsid w:val="005975DC"/>
    <w:rsid w:val="005A03DE"/>
    <w:rsid w:val="005A0ECA"/>
    <w:rsid w:val="005A1063"/>
    <w:rsid w:val="005A12EE"/>
    <w:rsid w:val="005A16E7"/>
    <w:rsid w:val="005A16F7"/>
    <w:rsid w:val="005A2045"/>
    <w:rsid w:val="005A230A"/>
    <w:rsid w:val="005A2C86"/>
    <w:rsid w:val="005A2D96"/>
    <w:rsid w:val="005A4018"/>
    <w:rsid w:val="005A4895"/>
    <w:rsid w:val="005A5868"/>
    <w:rsid w:val="005A5B7F"/>
    <w:rsid w:val="005A7243"/>
    <w:rsid w:val="005A7437"/>
    <w:rsid w:val="005A7C92"/>
    <w:rsid w:val="005A7E60"/>
    <w:rsid w:val="005B0834"/>
    <w:rsid w:val="005B0D37"/>
    <w:rsid w:val="005B1EAF"/>
    <w:rsid w:val="005B26E7"/>
    <w:rsid w:val="005B4785"/>
    <w:rsid w:val="005B4EEF"/>
    <w:rsid w:val="005B5AED"/>
    <w:rsid w:val="005B769A"/>
    <w:rsid w:val="005B76EF"/>
    <w:rsid w:val="005B7CD2"/>
    <w:rsid w:val="005B7FC5"/>
    <w:rsid w:val="005C0A3F"/>
    <w:rsid w:val="005C0CE1"/>
    <w:rsid w:val="005C19B0"/>
    <w:rsid w:val="005C38A6"/>
    <w:rsid w:val="005C44C9"/>
    <w:rsid w:val="005C4C65"/>
    <w:rsid w:val="005C5AA1"/>
    <w:rsid w:val="005C5C44"/>
    <w:rsid w:val="005C603D"/>
    <w:rsid w:val="005C633C"/>
    <w:rsid w:val="005C63C7"/>
    <w:rsid w:val="005C70E0"/>
    <w:rsid w:val="005C73B0"/>
    <w:rsid w:val="005C7D80"/>
    <w:rsid w:val="005D0811"/>
    <w:rsid w:val="005D0C2D"/>
    <w:rsid w:val="005D167C"/>
    <w:rsid w:val="005D2568"/>
    <w:rsid w:val="005D3233"/>
    <w:rsid w:val="005D34C3"/>
    <w:rsid w:val="005D38FD"/>
    <w:rsid w:val="005D3F65"/>
    <w:rsid w:val="005D7592"/>
    <w:rsid w:val="005D7D11"/>
    <w:rsid w:val="005E061C"/>
    <w:rsid w:val="005E0790"/>
    <w:rsid w:val="005E162C"/>
    <w:rsid w:val="005E187F"/>
    <w:rsid w:val="005E1D44"/>
    <w:rsid w:val="005E29DD"/>
    <w:rsid w:val="005E2AC4"/>
    <w:rsid w:val="005E2F70"/>
    <w:rsid w:val="005E3015"/>
    <w:rsid w:val="005E35EA"/>
    <w:rsid w:val="005E3C5C"/>
    <w:rsid w:val="005E40EC"/>
    <w:rsid w:val="005E5B0E"/>
    <w:rsid w:val="005E6BC1"/>
    <w:rsid w:val="005E75E7"/>
    <w:rsid w:val="005E7E85"/>
    <w:rsid w:val="005F07DF"/>
    <w:rsid w:val="005F0DFF"/>
    <w:rsid w:val="005F11DA"/>
    <w:rsid w:val="005F125B"/>
    <w:rsid w:val="005F1531"/>
    <w:rsid w:val="005F18ED"/>
    <w:rsid w:val="005F1C24"/>
    <w:rsid w:val="005F2226"/>
    <w:rsid w:val="005F273D"/>
    <w:rsid w:val="005F3687"/>
    <w:rsid w:val="005F3B4C"/>
    <w:rsid w:val="005F3DD8"/>
    <w:rsid w:val="005F491F"/>
    <w:rsid w:val="005F4B4A"/>
    <w:rsid w:val="005F57A6"/>
    <w:rsid w:val="005F596E"/>
    <w:rsid w:val="005F5E11"/>
    <w:rsid w:val="005F5E90"/>
    <w:rsid w:val="005F77A2"/>
    <w:rsid w:val="005F77A6"/>
    <w:rsid w:val="005F7D95"/>
    <w:rsid w:val="0060032B"/>
    <w:rsid w:val="006006CB"/>
    <w:rsid w:val="00600AB5"/>
    <w:rsid w:val="006011DA"/>
    <w:rsid w:val="006015A4"/>
    <w:rsid w:val="00601A3F"/>
    <w:rsid w:val="00602752"/>
    <w:rsid w:val="00602A1C"/>
    <w:rsid w:val="00603C74"/>
    <w:rsid w:val="0060447C"/>
    <w:rsid w:val="006051D7"/>
    <w:rsid w:val="00605D82"/>
    <w:rsid w:val="0060649F"/>
    <w:rsid w:val="0060656F"/>
    <w:rsid w:val="0060675B"/>
    <w:rsid w:val="00606FE8"/>
    <w:rsid w:val="0060754E"/>
    <w:rsid w:val="00607BC3"/>
    <w:rsid w:val="00607D7C"/>
    <w:rsid w:val="00607ECD"/>
    <w:rsid w:val="00610D71"/>
    <w:rsid w:val="0061111C"/>
    <w:rsid w:val="00611BD7"/>
    <w:rsid w:val="00612621"/>
    <w:rsid w:val="00612DC2"/>
    <w:rsid w:val="0061327A"/>
    <w:rsid w:val="0061380B"/>
    <w:rsid w:val="0061418F"/>
    <w:rsid w:val="00614217"/>
    <w:rsid w:val="00614F8D"/>
    <w:rsid w:val="0061598D"/>
    <w:rsid w:val="00616195"/>
    <w:rsid w:val="00617D7E"/>
    <w:rsid w:val="0062060A"/>
    <w:rsid w:val="00621AE1"/>
    <w:rsid w:val="00621CB9"/>
    <w:rsid w:val="00622D19"/>
    <w:rsid w:val="006244C6"/>
    <w:rsid w:val="0062481E"/>
    <w:rsid w:val="00624A4E"/>
    <w:rsid w:val="00624B26"/>
    <w:rsid w:val="0062511A"/>
    <w:rsid w:val="00625765"/>
    <w:rsid w:val="0062589E"/>
    <w:rsid w:val="0062790A"/>
    <w:rsid w:val="00627F95"/>
    <w:rsid w:val="00630380"/>
    <w:rsid w:val="006306A5"/>
    <w:rsid w:val="006315C8"/>
    <w:rsid w:val="00632305"/>
    <w:rsid w:val="00632727"/>
    <w:rsid w:val="0063382F"/>
    <w:rsid w:val="00634316"/>
    <w:rsid w:val="00636890"/>
    <w:rsid w:val="006376A2"/>
    <w:rsid w:val="00637984"/>
    <w:rsid w:val="00637DB3"/>
    <w:rsid w:val="00640A19"/>
    <w:rsid w:val="00640E60"/>
    <w:rsid w:val="00640F86"/>
    <w:rsid w:val="00641CF3"/>
    <w:rsid w:val="00642261"/>
    <w:rsid w:val="00643125"/>
    <w:rsid w:val="00643146"/>
    <w:rsid w:val="006448A5"/>
    <w:rsid w:val="006453B0"/>
    <w:rsid w:val="006474A6"/>
    <w:rsid w:val="006509A7"/>
    <w:rsid w:val="00650C1B"/>
    <w:rsid w:val="00651902"/>
    <w:rsid w:val="006519EA"/>
    <w:rsid w:val="00651D2E"/>
    <w:rsid w:val="00652254"/>
    <w:rsid w:val="00652F2F"/>
    <w:rsid w:val="00653AFB"/>
    <w:rsid w:val="00653FE2"/>
    <w:rsid w:val="00654BAD"/>
    <w:rsid w:val="006552E8"/>
    <w:rsid w:val="006562C9"/>
    <w:rsid w:val="006562F2"/>
    <w:rsid w:val="006564F4"/>
    <w:rsid w:val="00656897"/>
    <w:rsid w:val="00656CCC"/>
    <w:rsid w:val="00656DE5"/>
    <w:rsid w:val="00656E19"/>
    <w:rsid w:val="00657825"/>
    <w:rsid w:val="00657B92"/>
    <w:rsid w:val="00657C84"/>
    <w:rsid w:val="00661592"/>
    <w:rsid w:val="0066168E"/>
    <w:rsid w:val="00662B1B"/>
    <w:rsid w:val="00663A75"/>
    <w:rsid w:val="00664276"/>
    <w:rsid w:val="006653EC"/>
    <w:rsid w:val="0066559F"/>
    <w:rsid w:val="00665D45"/>
    <w:rsid w:val="006674CB"/>
    <w:rsid w:val="006679CC"/>
    <w:rsid w:val="00667A5D"/>
    <w:rsid w:val="00667B4F"/>
    <w:rsid w:val="00671AFE"/>
    <w:rsid w:val="006725DF"/>
    <w:rsid w:val="00672B88"/>
    <w:rsid w:val="00673DE0"/>
    <w:rsid w:val="006744CD"/>
    <w:rsid w:val="0067497F"/>
    <w:rsid w:val="006749B3"/>
    <w:rsid w:val="00674E78"/>
    <w:rsid w:val="00675355"/>
    <w:rsid w:val="00677BB8"/>
    <w:rsid w:val="00677F2D"/>
    <w:rsid w:val="00680964"/>
    <w:rsid w:val="0068184E"/>
    <w:rsid w:val="00682497"/>
    <w:rsid w:val="00682562"/>
    <w:rsid w:val="00683C6A"/>
    <w:rsid w:val="00686E3C"/>
    <w:rsid w:val="00687DF8"/>
    <w:rsid w:val="00690518"/>
    <w:rsid w:val="00690753"/>
    <w:rsid w:val="00690C35"/>
    <w:rsid w:val="00692E9C"/>
    <w:rsid w:val="00692F0B"/>
    <w:rsid w:val="006939DF"/>
    <w:rsid w:val="0069683A"/>
    <w:rsid w:val="00697FCD"/>
    <w:rsid w:val="006A04C1"/>
    <w:rsid w:val="006A2630"/>
    <w:rsid w:val="006A276E"/>
    <w:rsid w:val="006A2AE3"/>
    <w:rsid w:val="006A367B"/>
    <w:rsid w:val="006A3C6A"/>
    <w:rsid w:val="006A465B"/>
    <w:rsid w:val="006A4E3F"/>
    <w:rsid w:val="006A5412"/>
    <w:rsid w:val="006A6BA2"/>
    <w:rsid w:val="006B0A5B"/>
    <w:rsid w:val="006B1DE9"/>
    <w:rsid w:val="006B3984"/>
    <w:rsid w:val="006B471D"/>
    <w:rsid w:val="006B47F0"/>
    <w:rsid w:val="006B4D98"/>
    <w:rsid w:val="006B5165"/>
    <w:rsid w:val="006B558D"/>
    <w:rsid w:val="006B609E"/>
    <w:rsid w:val="006B7AA9"/>
    <w:rsid w:val="006C019F"/>
    <w:rsid w:val="006C0874"/>
    <w:rsid w:val="006C11C1"/>
    <w:rsid w:val="006C1543"/>
    <w:rsid w:val="006C17A1"/>
    <w:rsid w:val="006C2277"/>
    <w:rsid w:val="006C391E"/>
    <w:rsid w:val="006C394E"/>
    <w:rsid w:val="006C3B07"/>
    <w:rsid w:val="006C3D33"/>
    <w:rsid w:val="006C4599"/>
    <w:rsid w:val="006C4BE5"/>
    <w:rsid w:val="006C51E5"/>
    <w:rsid w:val="006C5416"/>
    <w:rsid w:val="006C5DC7"/>
    <w:rsid w:val="006C6096"/>
    <w:rsid w:val="006C6D86"/>
    <w:rsid w:val="006C757B"/>
    <w:rsid w:val="006C7EDF"/>
    <w:rsid w:val="006D06A6"/>
    <w:rsid w:val="006D08F0"/>
    <w:rsid w:val="006D1B1A"/>
    <w:rsid w:val="006D1DD8"/>
    <w:rsid w:val="006D1F53"/>
    <w:rsid w:val="006D2D9C"/>
    <w:rsid w:val="006D2E1B"/>
    <w:rsid w:val="006D3594"/>
    <w:rsid w:val="006D3807"/>
    <w:rsid w:val="006D3FFF"/>
    <w:rsid w:val="006D4A3F"/>
    <w:rsid w:val="006D7214"/>
    <w:rsid w:val="006D734B"/>
    <w:rsid w:val="006D7892"/>
    <w:rsid w:val="006E018C"/>
    <w:rsid w:val="006E036B"/>
    <w:rsid w:val="006E098B"/>
    <w:rsid w:val="006E0BA7"/>
    <w:rsid w:val="006E0C6E"/>
    <w:rsid w:val="006E1217"/>
    <w:rsid w:val="006E2E22"/>
    <w:rsid w:val="006E376C"/>
    <w:rsid w:val="006E4E32"/>
    <w:rsid w:val="006E5166"/>
    <w:rsid w:val="006E56F3"/>
    <w:rsid w:val="006E59B9"/>
    <w:rsid w:val="006E5A55"/>
    <w:rsid w:val="006E6EE1"/>
    <w:rsid w:val="006E7424"/>
    <w:rsid w:val="006E7621"/>
    <w:rsid w:val="006E7698"/>
    <w:rsid w:val="006F0107"/>
    <w:rsid w:val="006F172F"/>
    <w:rsid w:val="006F185D"/>
    <w:rsid w:val="006F2A2C"/>
    <w:rsid w:val="006F4AD0"/>
    <w:rsid w:val="006F55E3"/>
    <w:rsid w:val="006F5A13"/>
    <w:rsid w:val="006F619D"/>
    <w:rsid w:val="006F62A0"/>
    <w:rsid w:val="006F7971"/>
    <w:rsid w:val="00700209"/>
    <w:rsid w:val="0070063A"/>
    <w:rsid w:val="00700F6D"/>
    <w:rsid w:val="007029E2"/>
    <w:rsid w:val="007042DC"/>
    <w:rsid w:val="0070539C"/>
    <w:rsid w:val="0070585B"/>
    <w:rsid w:val="00706495"/>
    <w:rsid w:val="0070653E"/>
    <w:rsid w:val="00706AA2"/>
    <w:rsid w:val="00706C59"/>
    <w:rsid w:val="00707F98"/>
    <w:rsid w:val="007100C1"/>
    <w:rsid w:val="0071039A"/>
    <w:rsid w:val="00711923"/>
    <w:rsid w:val="00711986"/>
    <w:rsid w:val="00711BD2"/>
    <w:rsid w:val="00712427"/>
    <w:rsid w:val="00712482"/>
    <w:rsid w:val="00712C43"/>
    <w:rsid w:val="00714B33"/>
    <w:rsid w:val="007168E8"/>
    <w:rsid w:val="00716B28"/>
    <w:rsid w:val="00716FA2"/>
    <w:rsid w:val="0071713A"/>
    <w:rsid w:val="007208C3"/>
    <w:rsid w:val="00721C63"/>
    <w:rsid w:val="00721F95"/>
    <w:rsid w:val="007220EB"/>
    <w:rsid w:val="0072376E"/>
    <w:rsid w:val="007247F8"/>
    <w:rsid w:val="00724D7D"/>
    <w:rsid w:val="00726002"/>
    <w:rsid w:val="007268A9"/>
    <w:rsid w:val="00726A7E"/>
    <w:rsid w:val="00730911"/>
    <w:rsid w:val="00730967"/>
    <w:rsid w:val="0073187D"/>
    <w:rsid w:val="00732960"/>
    <w:rsid w:val="00732A79"/>
    <w:rsid w:val="00733593"/>
    <w:rsid w:val="007338A7"/>
    <w:rsid w:val="00733A49"/>
    <w:rsid w:val="00733B13"/>
    <w:rsid w:val="00733D07"/>
    <w:rsid w:val="00734FD4"/>
    <w:rsid w:val="00736B36"/>
    <w:rsid w:val="00736F9F"/>
    <w:rsid w:val="00737F55"/>
    <w:rsid w:val="00740329"/>
    <w:rsid w:val="00740514"/>
    <w:rsid w:val="007406BA"/>
    <w:rsid w:val="00740BE3"/>
    <w:rsid w:val="00741AB7"/>
    <w:rsid w:val="00742368"/>
    <w:rsid w:val="00742721"/>
    <w:rsid w:val="00742B82"/>
    <w:rsid w:val="00742C82"/>
    <w:rsid w:val="00743411"/>
    <w:rsid w:val="0074403F"/>
    <w:rsid w:val="00744E7C"/>
    <w:rsid w:val="00744FF3"/>
    <w:rsid w:val="00745072"/>
    <w:rsid w:val="00745939"/>
    <w:rsid w:val="007459B6"/>
    <w:rsid w:val="00746FBF"/>
    <w:rsid w:val="00747429"/>
    <w:rsid w:val="00747C66"/>
    <w:rsid w:val="0075007B"/>
    <w:rsid w:val="00750BC6"/>
    <w:rsid w:val="00751AD1"/>
    <w:rsid w:val="0075231A"/>
    <w:rsid w:val="00753152"/>
    <w:rsid w:val="007541B4"/>
    <w:rsid w:val="00754FEB"/>
    <w:rsid w:val="007557C3"/>
    <w:rsid w:val="007558D7"/>
    <w:rsid w:val="007563D7"/>
    <w:rsid w:val="00757104"/>
    <w:rsid w:val="00757A55"/>
    <w:rsid w:val="0076145B"/>
    <w:rsid w:val="00761636"/>
    <w:rsid w:val="00761BFA"/>
    <w:rsid w:val="0076207C"/>
    <w:rsid w:val="007648E9"/>
    <w:rsid w:val="007649D6"/>
    <w:rsid w:val="007651AA"/>
    <w:rsid w:val="0076577A"/>
    <w:rsid w:val="0076597D"/>
    <w:rsid w:val="00765EFD"/>
    <w:rsid w:val="00766E08"/>
    <w:rsid w:val="00767774"/>
    <w:rsid w:val="00767BDE"/>
    <w:rsid w:val="00770460"/>
    <w:rsid w:val="00770D35"/>
    <w:rsid w:val="007717A8"/>
    <w:rsid w:val="00771B8F"/>
    <w:rsid w:val="007722A5"/>
    <w:rsid w:val="007728DC"/>
    <w:rsid w:val="0077291E"/>
    <w:rsid w:val="0077442B"/>
    <w:rsid w:val="00774673"/>
    <w:rsid w:val="0077596F"/>
    <w:rsid w:val="00775A61"/>
    <w:rsid w:val="00776550"/>
    <w:rsid w:val="007768A0"/>
    <w:rsid w:val="007778C9"/>
    <w:rsid w:val="00780AA8"/>
    <w:rsid w:val="00781648"/>
    <w:rsid w:val="00781857"/>
    <w:rsid w:val="00782138"/>
    <w:rsid w:val="0078232F"/>
    <w:rsid w:val="00783407"/>
    <w:rsid w:val="0078378B"/>
    <w:rsid w:val="00784543"/>
    <w:rsid w:val="00784BD9"/>
    <w:rsid w:val="0078560C"/>
    <w:rsid w:val="00785AE7"/>
    <w:rsid w:val="00786199"/>
    <w:rsid w:val="007876B6"/>
    <w:rsid w:val="00787D4F"/>
    <w:rsid w:val="00787E3C"/>
    <w:rsid w:val="00790612"/>
    <w:rsid w:val="007907ED"/>
    <w:rsid w:val="00791C54"/>
    <w:rsid w:val="00791C87"/>
    <w:rsid w:val="0079212D"/>
    <w:rsid w:val="00794ACD"/>
    <w:rsid w:val="007953EC"/>
    <w:rsid w:val="00795536"/>
    <w:rsid w:val="0079687D"/>
    <w:rsid w:val="00797458"/>
    <w:rsid w:val="0079765A"/>
    <w:rsid w:val="00797D46"/>
    <w:rsid w:val="007A0751"/>
    <w:rsid w:val="007A0ACA"/>
    <w:rsid w:val="007A19C3"/>
    <w:rsid w:val="007A1A7C"/>
    <w:rsid w:val="007A1B26"/>
    <w:rsid w:val="007A1D48"/>
    <w:rsid w:val="007A2072"/>
    <w:rsid w:val="007A2217"/>
    <w:rsid w:val="007A2FA1"/>
    <w:rsid w:val="007A35D0"/>
    <w:rsid w:val="007A36CE"/>
    <w:rsid w:val="007A37FB"/>
    <w:rsid w:val="007A3959"/>
    <w:rsid w:val="007A4663"/>
    <w:rsid w:val="007A49F7"/>
    <w:rsid w:val="007A5092"/>
    <w:rsid w:val="007A538F"/>
    <w:rsid w:val="007A5658"/>
    <w:rsid w:val="007A571E"/>
    <w:rsid w:val="007A6659"/>
    <w:rsid w:val="007A7B71"/>
    <w:rsid w:val="007B13F3"/>
    <w:rsid w:val="007B1897"/>
    <w:rsid w:val="007B210D"/>
    <w:rsid w:val="007B224E"/>
    <w:rsid w:val="007B2B17"/>
    <w:rsid w:val="007B3D83"/>
    <w:rsid w:val="007B48DB"/>
    <w:rsid w:val="007B623A"/>
    <w:rsid w:val="007B6813"/>
    <w:rsid w:val="007B6B27"/>
    <w:rsid w:val="007B6D5A"/>
    <w:rsid w:val="007B70B2"/>
    <w:rsid w:val="007B7958"/>
    <w:rsid w:val="007C09DA"/>
    <w:rsid w:val="007C137E"/>
    <w:rsid w:val="007C2588"/>
    <w:rsid w:val="007C31F4"/>
    <w:rsid w:val="007C412D"/>
    <w:rsid w:val="007C42AF"/>
    <w:rsid w:val="007C4810"/>
    <w:rsid w:val="007C53A4"/>
    <w:rsid w:val="007C56BE"/>
    <w:rsid w:val="007C59D2"/>
    <w:rsid w:val="007C6BC6"/>
    <w:rsid w:val="007C6F00"/>
    <w:rsid w:val="007C749E"/>
    <w:rsid w:val="007C7EC1"/>
    <w:rsid w:val="007D0031"/>
    <w:rsid w:val="007D0119"/>
    <w:rsid w:val="007D0B39"/>
    <w:rsid w:val="007D16F6"/>
    <w:rsid w:val="007D2A54"/>
    <w:rsid w:val="007D2FB9"/>
    <w:rsid w:val="007D3565"/>
    <w:rsid w:val="007D4049"/>
    <w:rsid w:val="007D65C5"/>
    <w:rsid w:val="007D6A34"/>
    <w:rsid w:val="007D700A"/>
    <w:rsid w:val="007E0211"/>
    <w:rsid w:val="007E10F8"/>
    <w:rsid w:val="007E210D"/>
    <w:rsid w:val="007E2505"/>
    <w:rsid w:val="007E34D3"/>
    <w:rsid w:val="007E3A52"/>
    <w:rsid w:val="007E4A2B"/>
    <w:rsid w:val="007E4B81"/>
    <w:rsid w:val="007E631B"/>
    <w:rsid w:val="007E77C7"/>
    <w:rsid w:val="007E7B4C"/>
    <w:rsid w:val="007F03EA"/>
    <w:rsid w:val="007F14EE"/>
    <w:rsid w:val="007F1AE2"/>
    <w:rsid w:val="007F1DCC"/>
    <w:rsid w:val="007F1EB9"/>
    <w:rsid w:val="007F2F7F"/>
    <w:rsid w:val="007F52AB"/>
    <w:rsid w:val="007F60ED"/>
    <w:rsid w:val="007F70C3"/>
    <w:rsid w:val="007F74B2"/>
    <w:rsid w:val="00800AFF"/>
    <w:rsid w:val="00801F36"/>
    <w:rsid w:val="00802238"/>
    <w:rsid w:val="0080292E"/>
    <w:rsid w:val="00802B57"/>
    <w:rsid w:val="00803947"/>
    <w:rsid w:val="00803D11"/>
    <w:rsid w:val="00803D3A"/>
    <w:rsid w:val="008046FD"/>
    <w:rsid w:val="00804A5E"/>
    <w:rsid w:val="008078DE"/>
    <w:rsid w:val="00810360"/>
    <w:rsid w:val="0081036C"/>
    <w:rsid w:val="0081061A"/>
    <w:rsid w:val="008107E2"/>
    <w:rsid w:val="008111C3"/>
    <w:rsid w:val="0081121A"/>
    <w:rsid w:val="008113BF"/>
    <w:rsid w:val="0081151E"/>
    <w:rsid w:val="008115BA"/>
    <w:rsid w:val="008117C1"/>
    <w:rsid w:val="00812031"/>
    <w:rsid w:val="008125CA"/>
    <w:rsid w:val="00812609"/>
    <w:rsid w:val="00813435"/>
    <w:rsid w:val="00813E05"/>
    <w:rsid w:val="008156D3"/>
    <w:rsid w:val="008157BB"/>
    <w:rsid w:val="0081629E"/>
    <w:rsid w:val="0081718C"/>
    <w:rsid w:val="0081752B"/>
    <w:rsid w:val="00817F58"/>
    <w:rsid w:val="0082188F"/>
    <w:rsid w:val="00821B17"/>
    <w:rsid w:val="00821F52"/>
    <w:rsid w:val="0082227C"/>
    <w:rsid w:val="00822F36"/>
    <w:rsid w:val="00823DF0"/>
    <w:rsid w:val="008243D8"/>
    <w:rsid w:val="0082623F"/>
    <w:rsid w:val="008267D1"/>
    <w:rsid w:val="00826B52"/>
    <w:rsid w:val="00827120"/>
    <w:rsid w:val="00827231"/>
    <w:rsid w:val="00827409"/>
    <w:rsid w:val="0082795C"/>
    <w:rsid w:val="00827AF2"/>
    <w:rsid w:val="00827DF3"/>
    <w:rsid w:val="008316C7"/>
    <w:rsid w:val="00832330"/>
    <w:rsid w:val="008330E3"/>
    <w:rsid w:val="00833A35"/>
    <w:rsid w:val="00833E33"/>
    <w:rsid w:val="00834004"/>
    <w:rsid w:val="008343BA"/>
    <w:rsid w:val="0083441A"/>
    <w:rsid w:val="008348AE"/>
    <w:rsid w:val="008351BE"/>
    <w:rsid w:val="008359DC"/>
    <w:rsid w:val="00835B23"/>
    <w:rsid w:val="0083665B"/>
    <w:rsid w:val="00837D63"/>
    <w:rsid w:val="00841316"/>
    <w:rsid w:val="00842676"/>
    <w:rsid w:val="00842A00"/>
    <w:rsid w:val="00844AAD"/>
    <w:rsid w:val="00845124"/>
    <w:rsid w:val="00846C63"/>
    <w:rsid w:val="00846FAD"/>
    <w:rsid w:val="008473C0"/>
    <w:rsid w:val="0084772B"/>
    <w:rsid w:val="00847E44"/>
    <w:rsid w:val="00852099"/>
    <w:rsid w:val="008550AC"/>
    <w:rsid w:val="0085595C"/>
    <w:rsid w:val="00856F3E"/>
    <w:rsid w:val="00857134"/>
    <w:rsid w:val="008572BB"/>
    <w:rsid w:val="00857AB3"/>
    <w:rsid w:val="0086099B"/>
    <w:rsid w:val="00860D7A"/>
    <w:rsid w:val="0086114D"/>
    <w:rsid w:val="00861C63"/>
    <w:rsid w:val="00862076"/>
    <w:rsid w:val="0086279C"/>
    <w:rsid w:val="00863508"/>
    <w:rsid w:val="00863BCC"/>
    <w:rsid w:val="00864C5F"/>
    <w:rsid w:val="0086525E"/>
    <w:rsid w:val="00865BDB"/>
    <w:rsid w:val="00866702"/>
    <w:rsid w:val="008669B6"/>
    <w:rsid w:val="00867EF3"/>
    <w:rsid w:val="00870736"/>
    <w:rsid w:val="00870B11"/>
    <w:rsid w:val="00871118"/>
    <w:rsid w:val="00871462"/>
    <w:rsid w:val="00871E3A"/>
    <w:rsid w:val="0087253A"/>
    <w:rsid w:val="00872A37"/>
    <w:rsid w:val="00872AEF"/>
    <w:rsid w:val="00872AFD"/>
    <w:rsid w:val="00872BAE"/>
    <w:rsid w:val="00872E8B"/>
    <w:rsid w:val="008734CF"/>
    <w:rsid w:val="00873A4D"/>
    <w:rsid w:val="00874215"/>
    <w:rsid w:val="00875995"/>
    <w:rsid w:val="00875CA7"/>
    <w:rsid w:val="00877020"/>
    <w:rsid w:val="008808F9"/>
    <w:rsid w:val="008818A0"/>
    <w:rsid w:val="00882070"/>
    <w:rsid w:val="00884310"/>
    <w:rsid w:val="00885A0C"/>
    <w:rsid w:val="00885A19"/>
    <w:rsid w:val="00885C50"/>
    <w:rsid w:val="00885E84"/>
    <w:rsid w:val="0088705B"/>
    <w:rsid w:val="00887820"/>
    <w:rsid w:val="00887972"/>
    <w:rsid w:val="00887E74"/>
    <w:rsid w:val="00887F95"/>
    <w:rsid w:val="0089021F"/>
    <w:rsid w:val="008914B8"/>
    <w:rsid w:val="00891E44"/>
    <w:rsid w:val="0089215D"/>
    <w:rsid w:val="008922C5"/>
    <w:rsid w:val="00892DD7"/>
    <w:rsid w:val="00893538"/>
    <w:rsid w:val="00893824"/>
    <w:rsid w:val="00894633"/>
    <w:rsid w:val="00894865"/>
    <w:rsid w:val="00894965"/>
    <w:rsid w:val="00895A44"/>
    <w:rsid w:val="00896378"/>
    <w:rsid w:val="00896659"/>
    <w:rsid w:val="008969B1"/>
    <w:rsid w:val="008969D6"/>
    <w:rsid w:val="008978FC"/>
    <w:rsid w:val="00897BD4"/>
    <w:rsid w:val="008A0189"/>
    <w:rsid w:val="008A288A"/>
    <w:rsid w:val="008A3342"/>
    <w:rsid w:val="008A3CE6"/>
    <w:rsid w:val="008A3CE8"/>
    <w:rsid w:val="008A442F"/>
    <w:rsid w:val="008A4D3A"/>
    <w:rsid w:val="008A510C"/>
    <w:rsid w:val="008A51A6"/>
    <w:rsid w:val="008A5B97"/>
    <w:rsid w:val="008A5CAF"/>
    <w:rsid w:val="008A6E84"/>
    <w:rsid w:val="008A7689"/>
    <w:rsid w:val="008A780B"/>
    <w:rsid w:val="008A7B23"/>
    <w:rsid w:val="008B0B98"/>
    <w:rsid w:val="008B18C2"/>
    <w:rsid w:val="008B1F8B"/>
    <w:rsid w:val="008B334A"/>
    <w:rsid w:val="008B4CE8"/>
    <w:rsid w:val="008B4D9E"/>
    <w:rsid w:val="008B5305"/>
    <w:rsid w:val="008B55C6"/>
    <w:rsid w:val="008B5C3E"/>
    <w:rsid w:val="008B6FEB"/>
    <w:rsid w:val="008B7265"/>
    <w:rsid w:val="008C01C5"/>
    <w:rsid w:val="008C0517"/>
    <w:rsid w:val="008C0F0D"/>
    <w:rsid w:val="008C1336"/>
    <w:rsid w:val="008C1832"/>
    <w:rsid w:val="008C19C5"/>
    <w:rsid w:val="008C1C0F"/>
    <w:rsid w:val="008C1E1F"/>
    <w:rsid w:val="008C330E"/>
    <w:rsid w:val="008C3390"/>
    <w:rsid w:val="008C43A6"/>
    <w:rsid w:val="008C45A4"/>
    <w:rsid w:val="008C4B36"/>
    <w:rsid w:val="008C503F"/>
    <w:rsid w:val="008C5FC3"/>
    <w:rsid w:val="008C6873"/>
    <w:rsid w:val="008C7036"/>
    <w:rsid w:val="008C7393"/>
    <w:rsid w:val="008D0177"/>
    <w:rsid w:val="008D0563"/>
    <w:rsid w:val="008D0997"/>
    <w:rsid w:val="008D1606"/>
    <w:rsid w:val="008D1A10"/>
    <w:rsid w:val="008D28BF"/>
    <w:rsid w:val="008D2A4E"/>
    <w:rsid w:val="008D366C"/>
    <w:rsid w:val="008D3BA8"/>
    <w:rsid w:val="008D3D2A"/>
    <w:rsid w:val="008D4764"/>
    <w:rsid w:val="008D48A9"/>
    <w:rsid w:val="008D632F"/>
    <w:rsid w:val="008D6634"/>
    <w:rsid w:val="008D7416"/>
    <w:rsid w:val="008E02AA"/>
    <w:rsid w:val="008E0964"/>
    <w:rsid w:val="008E0B67"/>
    <w:rsid w:val="008E0D0C"/>
    <w:rsid w:val="008E11B3"/>
    <w:rsid w:val="008E1724"/>
    <w:rsid w:val="008E1CE2"/>
    <w:rsid w:val="008E2A86"/>
    <w:rsid w:val="008E2D08"/>
    <w:rsid w:val="008E343A"/>
    <w:rsid w:val="008E3972"/>
    <w:rsid w:val="008E3ABA"/>
    <w:rsid w:val="008E5031"/>
    <w:rsid w:val="008E5BC0"/>
    <w:rsid w:val="008E690A"/>
    <w:rsid w:val="008E713F"/>
    <w:rsid w:val="008E72BA"/>
    <w:rsid w:val="008E77CB"/>
    <w:rsid w:val="008E7BE8"/>
    <w:rsid w:val="008F1470"/>
    <w:rsid w:val="008F2237"/>
    <w:rsid w:val="008F2B16"/>
    <w:rsid w:val="008F3196"/>
    <w:rsid w:val="008F3CF4"/>
    <w:rsid w:val="008F3E9E"/>
    <w:rsid w:val="008F43C4"/>
    <w:rsid w:val="008F4B74"/>
    <w:rsid w:val="008F50D9"/>
    <w:rsid w:val="008F6C53"/>
    <w:rsid w:val="00900494"/>
    <w:rsid w:val="0090091B"/>
    <w:rsid w:val="0090162D"/>
    <w:rsid w:val="00901881"/>
    <w:rsid w:val="009018DC"/>
    <w:rsid w:val="009025FE"/>
    <w:rsid w:val="00902F82"/>
    <w:rsid w:val="0090301B"/>
    <w:rsid w:val="00903B2E"/>
    <w:rsid w:val="00903CCC"/>
    <w:rsid w:val="00903D0E"/>
    <w:rsid w:val="00904E79"/>
    <w:rsid w:val="00905397"/>
    <w:rsid w:val="00905BAE"/>
    <w:rsid w:val="00906999"/>
    <w:rsid w:val="0090720D"/>
    <w:rsid w:val="00910225"/>
    <w:rsid w:val="00911092"/>
    <w:rsid w:val="0091145A"/>
    <w:rsid w:val="009116D7"/>
    <w:rsid w:val="0091261E"/>
    <w:rsid w:val="00913B10"/>
    <w:rsid w:val="00913E22"/>
    <w:rsid w:val="009148C5"/>
    <w:rsid w:val="00914BDE"/>
    <w:rsid w:val="00914C7B"/>
    <w:rsid w:val="00914D89"/>
    <w:rsid w:val="009151B4"/>
    <w:rsid w:val="00915607"/>
    <w:rsid w:val="009176CA"/>
    <w:rsid w:val="00917BA5"/>
    <w:rsid w:val="00917E05"/>
    <w:rsid w:val="00920230"/>
    <w:rsid w:val="009208BB"/>
    <w:rsid w:val="00921398"/>
    <w:rsid w:val="009226EE"/>
    <w:rsid w:val="00922D17"/>
    <w:rsid w:val="009230FF"/>
    <w:rsid w:val="00924CF5"/>
    <w:rsid w:val="00925504"/>
    <w:rsid w:val="00926DC6"/>
    <w:rsid w:val="00927D43"/>
    <w:rsid w:val="009300A4"/>
    <w:rsid w:val="00930180"/>
    <w:rsid w:val="00932AC6"/>
    <w:rsid w:val="0093356C"/>
    <w:rsid w:val="009337DB"/>
    <w:rsid w:val="00934322"/>
    <w:rsid w:val="009344BE"/>
    <w:rsid w:val="00934F8A"/>
    <w:rsid w:val="00935D2B"/>
    <w:rsid w:val="00940891"/>
    <w:rsid w:val="00941009"/>
    <w:rsid w:val="0094131A"/>
    <w:rsid w:val="00941683"/>
    <w:rsid w:val="00941C4E"/>
    <w:rsid w:val="0094200F"/>
    <w:rsid w:val="00942B51"/>
    <w:rsid w:val="00943338"/>
    <w:rsid w:val="00944104"/>
    <w:rsid w:val="0094553E"/>
    <w:rsid w:val="00946C86"/>
    <w:rsid w:val="00947471"/>
    <w:rsid w:val="00947E9F"/>
    <w:rsid w:val="0095069E"/>
    <w:rsid w:val="00950D09"/>
    <w:rsid w:val="0095308D"/>
    <w:rsid w:val="009534FA"/>
    <w:rsid w:val="009540CC"/>
    <w:rsid w:val="00955F33"/>
    <w:rsid w:val="00956F3A"/>
    <w:rsid w:val="00960137"/>
    <w:rsid w:val="00961C61"/>
    <w:rsid w:val="009625ED"/>
    <w:rsid w:val="00962920"/>
    <w:rsid w:val="00963317"/>
    <w:rsid w:val="00963A01"/>
    <w:rsid w:val="00964767"/>
    <w:rsid w:val="0096484A"/>
    <w:rsid w:val="00964B0C"/>
    <w:rsid w:val="00965161"/>
    <w:rsid w:val="00965960"/>
    <w:rsid w:val="009659DC"/>
    <w:rsid w:val="00965C16"/>
    <w:rsid w:val="00966343"/>
    <w:rsid w:val="009668AE"/>
    <w:rsid w:val="009676CF"/>
    <w:rsid w:val="00967E60"/>
    <w:rsid w:val="009705A8"/>
    <w:rsid w:val="009705BF"/>
    <w:rsid w:val="00971C15"/>
    <w:rsid w:val="00972177"/>
    <w:rsid w:val="009728A9"/>
    <w:rsid w:val="009729D9"/>
    <w:rsid w:val="00972D9F"/>
    <w:rsid w:val="0097453C"/>
    <w:rsid w:val="009757B1"/>
    <w:rsid w:val="00975E32"/>
    <w:rsid w:val="00976815"/>
    <w:rsid w:val="00976A4F"/>
    <w:rsid w:val="009774C3"/>
    <w:rsid w:val="00980859"/>
    <w:rsid w:val="009810F6"/>
    <w:rsid w:val="009811E7"/>
    <w:rsid w:val="0098129E"/>
    <w:rsid w:val="00981324"/>
    <w:rsid w:val="00981A1F"/>
    <w:rsid w:val="00982238"/>
    <w:rsid w:val="00983800"/>
    <w:rsid w:val="00983EE4"/>
    <w:rsid w:val="009852C7"/>
    <w:rsid w:val="00986B83"/>
    <w:rsid w:val="00986E01"/>
    <w:rsid w:val="0098748B"/>
    <w:rsid w:val="00987949"/>
    <w:rsid w:val="0099222B"/>
    <w:rsid w:val="009923FD"/>
    <w:rsid w:val="009924E5"/>
    <w:rsid w:val="00992D32"/>
    <w:rsid w:val="00993FCD"/>
    <w:rsid w:val="00994E36"/>
    <w:rsid w:val="00995AE7"/>
    <w:rsid w:val="009964F5"/>
    <w:rsid w:val="00996DA4"/>
    <w:rsid w:val="00997269"/>
    <w:rsid w:val="00997B41"/>
    <w:rsid w:val="009A0574"/>
    <w:rsid w:val="009A09E5"/>
    <w:rsid w:val="009A1200"/>
    <w:rsid w:val="009A2030"/>
    <w:rsid w:val="009A28FD"/>
    <w:rsid w:val="009A3E65"/>
    <w:rsid w:val="009A427A"/>
    <w:rsid w:val="009A44CF"/>
    <w:rsid w:val="009A4619"/>
    <w:rsid w:val="009A670F"/>
    <w:rsid w:val="009A6849"/>
    <w:rsid w:val="009A7207"/>
    <w:rsid w:val="009B07AB"/>
    <w:rsid w:val="009B0925"/>
    <w:rsid w:val="009B0F3A"/>
    <w:rsid w:val="009B1121"/>
    <w:rsid w:val="009B2E52"/>
    <w:rsid w:val="009B31D9"/>
    <w:rsid w:val="009B3916"/>
    <w:rsid w:val="009B3A30"/>
    <w:rsid w:val="009B4737"/>
    <w:rsid w:val="009B560E"/>
    <w:rsid w:val="009B56BD"/>
    <w:rsid w:val="009B6022"/>
    <w:rsid w:val="009B775E"/>
    <w:rsid w:val="009C0034"/>
    <w:rsid w:val="009C037F"/>
    <w:rsid w:val="009C088C"/>
    <w:rsid w:val="009C08CD"/>
    <w:rsid w:val="009C1CD2"/>
    <w:rsid w:val="009C2762"/>
    <w:rsid w:val="009C2E96"/>
    <w:rsid w:val="009C3F59"/>
    <w:rsid w:val="009C40CB"/>
    <w:rsid w:val="009C4147"/>
    <w:rsid w:val="009C42F8"/>
    <w:rsid w:val="009C455E"/>
    <w:rsid w:val="009C4BE8"/>
    <w:rsid w:val="009C4C76"/>
    <w:rsid w:val="009C532D"/>
    <w:rsid w:val="009C5E65"/>
    <w:rsid w:val="009C6418"/>
    <w:rsid w:val="009C7732"/>
    <w:rsid w:val="009D0688"/>
    <w:rsid w:val="009D0C67"/>
    <w:rsid w:val="009D12A5"/>
    <w:rsid w:val="009D250A"/>
    <w:rsid w:val="009D27DB"/>
    <w:rsid w:val="009D2D54"/>
    <w:rsid w:val="009D3C10"/>
    <w:rsid w:val="009D4490"/>
    <w:rsid w:val="009D581E"/>
    <w:rsid w:val="009D676A"/>
    <w:rsid w:val="009D7212"/>
    <w:rsid w:val="009E0619"/>
    <w:rsid w:val="009E06C9"/>
    <w:rsid w:val="009E08E8"/>
    <w:rsid w:val="009E1014"/>
    <w:rsid w:val="009E1258"/>
    <w:rsid w:val="009E1922"/>
    <w:rsid w:val="009E1AA5"/>
    <w:rsid w:val="009E1C06"/>
    <w:rsid w:val="009E221A"/>
    <w:rsid w:val="009E2341"/>
    <w:rsid w:val="009E39F6"/>
    <w:rsid w:val="009E4AD1"/>
    <w:rsid w:val="009E507A"/>
    <w:rsid w:val="009E54FC"/>
    <w:rsid w:val="009E5E03"/>
    <w:rsid w:val="009E659E"/>
    <w:rsid w:val="009E7422"/>
    <w:rsid w:val="009F0791"/>
    <w:rsid w:val="009F0BD8"/>
    <w:rsid w:val="009F1323"/>
    <w:rsid w:val="009F3F5C"/>
    <w:rsid w:val="009F44F5"/>
    <w:rsid w:val="009F4877"/>
    <w:rsid w:val="00A0178C"/>
    <w:rsid w:val="00A02605"/>
    <w:rsid w:val="00A02A33"/>
    <w:rsid w:val="00A0367E"/>
    <w:rsid w:val="00A03CE9"/>
    <w:rsid w:val="00A03D4D"/>
    <w:rsid w:val="00A0443A"/>
    <w:rsid w:val="00A048A3"/>
    <w:rsid w:val="00A04A99"/>
    <w:rsid w:val="00A04E45"/>
    <w:rsid w:val="00A05DEB"/>
    <w:rsid w:val="00A06672"/>
    <w:rsid w:val="00A0761A"/>
    <w:rsid w:val="00A07B99"/>
    <w:rsid w:val="00A10CD4"/>
    <w:rsid w:val="00A114C9"/>
    <w:rsid w:val="00A11B97"/>
    <w:rsid w:val="00A122C1"/>
    <w:rsid w:val="00A14379"/>
    <w:rsid w:val="00A14A73"/>
    <w:rsid w:val="00A14C5B"/>
    <w:rsid w:val="00A1568A"/>
    <w:rsid w:val="00A1745A"/>
    <w:rsid w:val="00A17FF3"/>
    <w:rsid w:val="00A21400"/>
    <w:rsid w:val="00A21E11"/>
    <w:rsid w:val="00A22195"/>
    <w:rsid w:val="00A223F7"/>
    <w:rsid w:val="00A22D5A"/>
    <w:rsid w:val="00A22E88"/>
    <w:rsid w:val="00A22EFC"/>
    <w:rsid w:val="00A23182"/>
    <w:rsid w:val="00A2415D"/>
    <w:rsid w:val="00A242B4"/>
    <w:rsid w:val="00A25FD4"/>
    <w:rsid w:val="00A26864"/>
    <w:rsid w:val="00A268CE"/>
    <w:rsid w:val="00A27293"/>
    <w:rsid w:val="00A3012B"/>
    <w:rsid w:val="00A30769"/>
    <w:rsid w:val="00A31C53"/>
    <w:rsid w:val="00A31E72"/>
    <w:rsid w:val="00A3250F"/>
    <w:rsid w:val="00A3271E"/>
    <w:rsid w:val="00A334D1"/>
    <w:rsid w:val="00A339DD"/>
    <w:rsid w:val="00A34359"/>
    <w:rsid w:val="00A3533B"/>
    <w:rsid w:val="00A3534E"/>
    <w:rsid w:val="00A3650D"/>
    <w:rsid w:val="00A372DC"/>
    <w:rsid w:val="00A377AF"/>
    <w:rsid w:val="00A37B4C"/>
    <w:rsid w:val="00A403CB"/>
    <w:rsid w:val="00A413A4"/>
    <w:rsid w:val="00A413BE"/>
    <w:rsid w:val="00A41494"/>
    <w:rsid w:val="00A41CC4"/>
    <w:rsid w:val="00A41DA7"/>
    <w:rsid w:val="00A4356A"/>
    <w:rsid w:val="00A43DFA"/>
    <w:rsid w:val="00A44495"/>
    <w:rsid w:val="00A44B13"/>
    <w:rsid w:val="00A46961"/>
    <w:rsid w:val="00A46A90"/>
    <w:rsid w:val="00A47456"/>
    <w:rsid w:val="00A47B91"/>
    <w:rsid w:val="00A50398"/>
    <w:rsid w:val="00A5065B"/>
    <w:rsid w:val="00A5140B"/>
    <w:rsid w:val="00A520B1"/>
    <w:rsid w:val="00A526E5"/>
    <w:rsid w:val="00A53BA7"/>
    <w:rsid w:val="00A53D74"/>
    <w:rsid w:val="00A559FD"/>
    <w:rsid w:val="00A56B77"/>
    <w:rsid w:val="00A5719D"/>
    <w:rsid w:val="00A578BD"/>
    <w:rsid w:val="00A57A77"/>
    <w:rsid w:val="00A57F42"/>
    <w:rsid w:val="00A60C78"/>
    <w:rsid w:val="00A6108D"/>
    <w:rsid w:val="00A61BF6"/>
    <w:rsid w:val="00A61F1B"/>
    <w:rsid w:val="00A62423"/>
    <w:rsid w:val="00A62EFD"/>
    <w:rsid w:val="00A64718"/>
    <w:rsid w:val="00A654AA"/>
    <w:rsid w:val="00A663B6"/>
    <w:rsid w:val="00A67343"/>
    <w:rsid w:val="00A67710"/>
    <w:rsid w:val="00A67BC4"/>
    <w:rsid w:val="00A709A1"/>
    <w:rsid w:val="00A7220B"/>
    <w:rsid w:val="00A7254E"/>
    <w:rsid w:val="00A7274D"/>
    <w:rsid w:val="00A72D8C"/>
    <w:rsid w:val="00A73515"/>
    <w:rsid w:val="00A73931"/>
    <w:rsid w:val="00A73F03"/>
    <w:rsid w:val="00A74231"/>
    <w:rsid w:val="00A7488F"/>
    <w:rsid w:val="00A74E16"/>
    <w:rsid w:val="00A75354"/>
    <w:rsid w:val="00A7638E"/>
    <w:rsid w:val="00A76494"/>
    <w:rsid w:val="00A76D39"/>
    <w:rsid w:val="00A770A6"/>
    <w:rsid w:val="00A770FE"/>
    <w:rsid w:val="00A77992"/>
    <w:rsid w:val="00A77995"/>
    <w:rsid w:val="00A77C95"/>
    <w:rsid w:val="00A8025D"/>
    <w:rsid w:val="00A806D4"/>
    <w:rsid w:val="00A80967"/>
    <w:rsid w:val="00A8109D"/>
    <w:rsid w:val="00A81174"/>
    <w:rsid w:val="00A8161F"/>
    <w:rsid w:val="00A82779"/>
    <w:rsid w:val="00A83141"/>
    <w:rsid w:val="00A8360F"/>
    <w:rsid w:val="00A83C9A"/>
    <w:rsid w:val="00A846E1"/>
    <w:rsid w:val="00A84835"/>
    <w:rsid w:val="00A850D7"/>
    <w:rsid w:val="00A8662D"/>
    <w:rsid w:val="00A868B8"/>
    <w:rsid w:val="00A8759D"/>
    <w:rsid w:val="00A87A7C"/>
    <w:rsid w:val="00A87F7D"/>
    <w:rsid w:val="00A87F9A"/>
    <w:rsid w:val="00A901BC"/>
    <w:rsid w:val="00A90C68"/>
    <w:rsid w:val="00A911D1"/>
    <w:rsid w:val="00A9168D"/>
    <w:rsid w:val="00A9190E"/>
    <w:rsid w:val="00A928F2"/>
    <w:rsid w:val="00A94E2F"/>
    <w:rsid w:val="00A95F95"/>
    <w:rsid w:val="00A961AB"/>
    <w:rsid w:val="00A968A6"/>
    <w:rsid w:val="00A97D6C"/>
    <w:rsid w:val="00AA240D"/>
    <w:rsid w:val="00AA2688"/>
    <w:rsid w:val="00AA2803"/>
    <w:rsid w:val="00AA4176"/>
    <w:rsid w:val="00AA4BDE"/>
    <w:rsid w:val="00AA549D"/>
    <w:rsid w:val="00AA5D8A"/>
    <w:rsid w:val="00AA5E2E"/>
    <w:rsid w:val="00AA7919"/>
    <w:rsid w:val="00AB1152"/>
    <w:rsid w:val="00AB1420"/>
    <w:rsid w:val="00AB20B4"/>
    <w:rsid w:val="00AB273F"/>
    <w:rsid w:val="00AB2B59"/>
    <w:rsid w:val="00AB2C5F"/>
    <w:rsid w:val="00AB30B0"/>
    <w:rsid w:val="00AB4370"/>
    <w:rsid w:val="00AB52B2"/>
    <w:rsid w:val="00AB5BAC"/>
    <w:rsid w:val="00AB625C"/>
    <w:rsid w:val="00AB6271"/>
    <w:rsid w:val="00AB71A1"/>
    <w:rsid w:val="00AB78A8"/>
    <w:rsid w:val="00AB7924"/>
    <w:rsid w:val="00AB7B57"/>
    <w:rsid w:val="00AB7B66"/>
    <w:rsid w:val="00AC045D"/>
    <w:rsid w:val="00AC16B9"/>
    <w:rsid w:val="00AC240A"/>
    <w:rsid w:val="00AC303C"/>
    <w:rsid w:val="00AC3E3B"/>
    <w:rsid w:val="00AC50B7"/>
    <w:rsid w:val="00AC709D"/>
    <w:rsid w:val="00AC7498"/>
    <w:rsid w:val="00AC765B"/>
    <w:rsid w:val="00AD0BFB"/>
    <w:rsid w:val="00AD0C47"/>
    <w:rsid w:val="00AD1489"/>
    <w:rsid w:val="00AD212E"/>
    <w:rsid w:val="00AD2919"/>
    <w:rsid w:val="00AD2DE7"/>
    <w:rsid w:val="00AD34BF"/>
    <w:rsid w:val="00AD3F0F"/>
    <w:rsid w:val="00AD41CF"/>
    <w:rsid w:val="00AD4591"/>
    <w:rsid w:val="00AD590B"/>
    <w:rsid w:val="00AD595D"/>
    <w:rsid w:val="00AD6FB6"/>
    <w:rsid w:val="00AE03F8"/>
    <w:rsid w:val="00AE0982"/>
    <w:rsid w:val="00AE0A92"/>
    <w:rsid w:val="00AE0C49"/>
    <w:rsid w:val="00AE0C62"/>
    <w:rsid w:val="00AE0E21"/>
    <w:rsid w:val="00AE15DB"/>
    <w:rsid w:val="00AE19C3"/>
    <w:rsid w:val="00AE2EF0"/>
    <w:rsid w:val="00AE2FA5"/>
    <w:rsid w:val="00AE4705"/>
    <w:rsid w:val="00AE47E8"/>
    <w:rsid w:val="00AE561F"/>
    <w:rsid w:val="00AE5DF5"/>
    <w:rsid w:val="00AE6058"/>
    <w:rsid w:val="00AE6078"/>
    <w:rsid w:val="00AE6133"/>
    <w:rsid w:val="00AE6BB8"/>
    <w:rsid w:val="00AE6D67"/>
    <w:rsid w:val="00AE712C"/>
    <w:rsid w:val="00AE7E16"/>
    <w:rsid w:val="00AF02E8"/>
    <w:rsid w:val="00AF273F"/>
    <w:rsid w:val="00AF276A"/>
    <w:rsid w:val="00AF3256"/>
    <w:rsid w:val="00AF3B5C"/>
    <w:rsid w:val="00AF42F4"/>
    <w:rsid w:val="00AF5DB9"/>
    <w:rsid w:val="00AF7072"/>
    <w:rsid w:val="00AF735E"/>
    <w:rsid w:val="00AF73E1"/>
    <w:rsid w:val="00B00390"/>
    <w:rsid w:val="00B01925"/>
    <w:rsid w:val="00B02E76"/>
    <w:rsid w:val="00B03320"/>
    <w:rsid w:val="00B03DA9"/>
    <w:rsid w:val="00B04387"/>
    <w:rsid w:val="00B04860"/>
    <w:rsid w:val="00B049FA"/>
    <w:rsid w:val="00B04B40"/>
    <w:rsid w:val="00B052DD"/>
    <w:rsid w:val="00B05772"/>
    <w:rsid w:val="00B05A80"/>
    <w:rsid w:val="00B05DB9"/>
    <w:rsid w:val="00B0607C"/>
    <w:rsid w:val="00B0693F"/>
    <w:rsid w:val="00B06ABF"/>
    <w:rsid w:val="00B07012"/>
    <w:rsid w:val="00B07067"/>
    <w:rsid w:val="00B074D7"/>
    <w:rsid w:val="00B0755B"/>
    <w:rsid w:val="00B076BF"/>
    <w:rsid w:val="00B1007E"/>
    <w:rsid w:val="00B10CE5"/>
    <w:rsid w:val="00B10F56"/>
    <w:rsid w:val="00B119A3"/>
    <w:rsid w:val="00B13900"/>
    <w:rsid w:val="00B13B6F"/>
    <w:rsid w:val="00B13CC5"/>
    <w:rsid w:val="00B1436D"/>
    <w:rsid w:val="00B15827"/>
    <w:rsid w:val="00B15FCF"/>
    <w:rsid w:val="00B16ADB"/>
    <w:rsid w:val="00B16F00"/>
    <w:rsid w:val="00B20AD4"/>
    <w:rsid w:val="00B218C0"/>
    <w:rsid w:val="00B21EFE"/>
    <w:rsid w:val="00B22167"/>
    <w:rsid w:val="00B227E6"/>
    <w:rsid w:val="00B22C44"/>
    <w:rsid w:val="00B231C5"/>
    <w:rsid w:val="00B23C77"/>
    <w:rsid w:val="00B2446E"/>
    <w:rsid w:val="00B24BAF"/>
    <w:rsid w:val="00B263B6"/>
    <w:rsid w:val="00B26A96"/>
    <w:rsid w:val="00B27614"/>
    <w:rsid w:val="00B27F14"/>
    <w:rsid w:val="00B27F5B"/>
    <w:rsid w:val="00B30316"/>
    <w:rsid w:val="00B30CCF"/>
    <w:rsid w:val="00B30CDD"/>
    <w:rsid w:val="00B30DB1"/>
    <w:rsid w:val="00B30ECE"/>
    <w:rsid w:val="00B30EEB"/>
    <w:rsid w:val="00B31791"/>
    <w:rsid w:val="00B317D2"/>
    <w:rsid w:val="00B334C3"/>
    <w:rsid w:val="00B33AC2"/>
    <w:rsid w:val="00B3489C"/>
    <w:rsid w:val="00B34DB4"/>
    <w:rsid w:val="00B35661"/>
    <w:rsid w:val="00B35A21"/>
    <w:rsid w:val="00B35ECE"/>
    <w:rsid w:val="00B3605C"/>
    <w:rsid w:val="00B36A75"/>
    <w:rsid w:val="00B36CF7"/>
    <w:rsid w:val="00B37435"/>
    <w:rsid w:val="00B374C2"/>
    <w:rsid w:val="00B40F87"/>
    <w:rsid w:val="00B4130C"/>
    <w:rsid w:val="00B41585"/>
    <w:rsid w:val="00B42C38"/>
    <w:rsid w:val="00B42F77"/>
    <w:rsid w:val="00B43EF5"/>
    <w:rsid w:val="00B441B1"/>
    <w:rsid w:val="00B44BEE"/>
    <w:rsid w:val="00B44F05"/>
    <w:rsid w:val="00B45045"/>
    <w:rsid w:val="00B451F9"/>
    <w:rsid w:val="00B455F2"/>
    <w:rsid w:val="00B45F7A"/>
    <w:rsid w:val="00B4607F"/>
    <w:rsid w:val="00B46290"/>
    <w:rsid w:val="00B47324"/>
    <w:rsid w:val="00B47650"/>
    <w:rsid w:val="00B47761"/>
    <w:rsid w:val="00B47920"/>
    <w:rsid w:val="00B47935"/>
    <w:rsid w:val="00B50316"/>
    <w:rsid w:val="00B51B61"/>
    <w:rsid w:val="00B5224F"/>
    <w:rsid w:val="00B526D1"/>
    <w:rsid w:val="00B528FC"/>
    <w:rsid w:val="00B52E83"/>
    <w:rsid w:val="00B52EA5"/>
    <w:rsid w:val="00B533DC"/>
    <w:rsid w:val="00B5372C"/>
    <w:rsid w:val="00B53ED6"/>
    <w:rsid w:val="00B545C7"/>
    <w:rsid w:val="00B54839"/>
    <w:rsid w:val="00B54B75"/>
    <w:rsid w:val="00B5502A"/>
    <w:rsid w:val="00B5547E"/>
    <w:rsid w:val="00B571A4"/>
    <w:rsid w:val="00B57523"/>
    <w:rsid w:val="00B60DB6"/>
    <w:rsid w:val="00B613FF"/>
    <w:rsid w:val="00B61679"/>
    <w:rsid w:val="00B630FE"/>
    <w:rsid w:val="00B632F9"/>
    <w:rsid w:val="00B6399E"/>
    <w:rsid w:val="00B65376"/>
    <w:rsid w:val="00B6541E"/>
    <w:rsid w:val="00B658C3"/>
    <w:rsid w:val="00B659E1"/>
    <w:rsid w:val="00B65A4F"/>
    <w:rsid w:val="00B66393"/>
    <w:rsid w:val="00B66C54"/>
    <w:rsid w:val="00B67254"/>
    <w:rsid w:val="00B67A16"/>
    <w:rsid w:val="00B70A01"/>
    <w:rsid w:val="00B7345D"/>
    <w:rsid w:val="00B74764"/>
    <w:rsid w:val="00B75D0B"/>
    <w:rsid w:val="00B763DF"/>
    <w:rsid w:val="00B76770"/>
    <w:rsid w:val="00B76F8A"/>
    <w:rsid w:val="00B77BFE"/>
    <w:rsid w:val="00B77F89"/>
    <w:rsid w:val="00B77FA6"/>
    <w:rsid w:val="00B80B49"/>
    <w:rsid w:val="00B8144B"/>
    <w:rsid w:val="00B815BD"/>
    <w:rsid w:val="00B83878"/>
    <w:rsid w:val="00B84576"/>
    <w:rsid w:val="00B85746"/>
    <w:rsid w:val="00B858B9"/>
    <w:rsid w:val="00B85EEE"/>
    <w:rsid w:val="00B869BC"/>
    <w:rsid w:val="00B8762E"/>
    <w:rsid w:val="00B8786F"/>
    <w:rsid w:val="00B87C79"/>
    <w:rsid w:val="00B87EBA"/>
    <w:rsid w:val="00B9082D"/>
    <w:rsid w:val="00B91603"/>
    <w:rsid w:val="00B9237D"/>
    <w:rsid w:val="00B93617"/>
    <w:rsid w:val="00B93CA9"/>
    <w:rsid w:val="00B93CFF"/>
    <w:rsid w:val="00B93EB0"/>
    <w:rsid w:val="00B93F7B"/>
    <w:rsid w:val="00B94476"/>
    <w:rsid w:val="00B95C84"/>
    <w:rsid w:val="00B966FB"/>
    <w:rsid w:val="00B96C0E"/>
    <w:rsid w:val="00B96D10"/>
    <w:rsid w:val="00B96DED"/>
    <w:rsid w:val="00B96F2B"/>
    <w:rsid w:val="00B97168"/>
    <w:rsid w:val="00B97228"/>
    <w:rsid w:val="00B974F0"/>
    <w:rsid w:val="00B97706"/>
    <w:rsid w:val="00B97B2B"/>
    <w:rsid w:val="00B97B5F"/>
    <w:rsid w:val="00BA00C5"/>
    <w:rsid w:val="00BA0AB5"/>
    <w:rsid w:val="00BA22E3"/>
    <w:rsid w:val="00BA350B"/>
    <w:rsid w:val="00BA44B9"/>
    <w:rsid w:val="00BA48F3"/>
    <w:rsid w:val="00BA514C"/>
    <w:rsid w:val="00BA52D7"/>
    <w:rsid w:val="00BA626F"/>
    <w:rsid w:val="00BA7875"/>
    <w:rsid w:val="00BA7934"/>
    <w:rsid w:val="00BA7D66"/>
    <w:rsid w:val="00BB080E"/>
    <w:rsid w:val="00BB0B6E"/>
    <w:rsid w:val="00BB12AC"/>
    <w:rsid w:val="00BB2215"/>
    <w:rsid w:val="00BB3147"/>
    <w:rsid w:val="00BB36F8"/>
    <w:rsid w:val="00BB3C1A"/>
    <w:rsid w:val="00BB4515"/>
    <w:rsid w:val="00BB5780"/>
    <w:rsid w:val="00BB648B"/>
    <w:rsid w:val="00BB690C"/>
    <w:rsid w:val="00BB745A"/>
    <w:rsid w:val="00BB775F"/>
    <w:rsid w:val="00BB7EE3"/>
    <w:rsid w:val="00BC07EC"/>
    <w:rsid w:val="00BC0883"/>
    <w:rsid w:val="00BC0DD0"/>
    <w:rsid w:val="00BC12E5"/>
    <w:rsid w:val="00BC2E81"/>
    <w:rsid w:val="00BC31F6"/>
    <w:rsid w:val="00BC3790"/>
    <w:rsid w:val="00BC39F7"/>
    <w:rsid w:val="00BC3EBC"/>
    <w:rsid w:val="00BC5DA8"/>
    <w:rsid w:val="00BC76A6"/>
    <w:rsid w:val="00BD03B7"/>
    <w:rsid w:val="00BD1234"/>
    <w:rsid w:val="00BD26E0"/>
    <w:rsid w:val="00BD28E4"/>
    <w:rsid w:val="00BD2993"/>
    <w:rsid w:val="00BD2D30"/>
    <w:rsid w:val="00BD3001"/>
    <w:rsid w:val="00BD3864"/>
    <w:rsid w:val="00BD3C94"/>
    <w:rsid w:val="00BD649B"/>
    <w:rsid w:val="00BD6DD2"/>
    <w:rsid w:val="00BD6F16"/>
    <w:rsid w:val="00BD7950"/>
    <w:rsid w:val="00BD7E6E"/>
    <w:rsid w:val="00BE0638"/>
    <w:rsid w:val="00BE1782"/>
    <w:rsid w:val="00BE2195"/>
    <w:rsid w:val="00BE21CE"/>
    <w:rsid w:val="00BE2911"/>
    <w:rsid w:val="00BE35B8"/>
    <w:rsid w:val="00BE3765"/>
    <w:rsid w:val="00BE37BC"/>
    <w:rsid w:val="00BE41F6"/>
    <w:rsid w:val="00BE44D1"/>
    <w:rsid w:val="00BE4574"/>
    <w:rsid w:val="00BE4CA3"/>
    <w:rsid w:val="00BE4D28"/>
    <w:rsid w:val="00BE5867"/>
    <w:rsid w:val="00BE5D98"/>
    <w:rsid w:val="00BE6279"/>
    <w:rsid w:val="00BE6D06"/>
    <w:rsid w:val="00BE70D0"/>
    <w:rsid w:val="00BE7123"/>
    <w:rsid w:val="00BE7789"/>
    <w:rsid w:val="00BF10A5"/>
    <w:rsid w:val="00BF1172"/>
    <w:rsid w:val="00BF11F4"/>
    <w:rsid w:val="00BF124E"/>
    <w:rsid w:val="00BF1C3C"/>
    <w:rsid w:val="00BF2841"/>
    <w:rsid w:val="00BF28D9"/>
    <w:rsid w:val="00BF62D3"/>
    <w:rsid w:val="00BF7446"/>
    <w:rsid w:val="00BF7CA9"/>
    <w:rsid w:val="00BF7EE9"/>
    <w:rsid w:val="00C001DA"/>
    <w:rsid w:val="00C004EF"/>
    <w:rsid w:val="00C00C9E"/>
    <w:rsid w:val="00C017AF"/>
    <w:rsid w:val="00C01928"/>
    <w:rsid w:val="00C022DF"/>
    <w:rsid w:val="00C02B6E"/>
    <w:rsid w:val="00C03348"/>
    <w:rsid w:val="00C045F9"/>
    <w:rsid w:val="00C04CF1"/>
    <w:rsid w:val="00C05AF3"/>
    <w:rsid w:val="00C05C0C"/>
    <w:rsid w:val="00C061BA"/>
    <w:rsid w:val="00C06637"/>
    <w:rsid w:val="00C06A20"/>
    <w:rsid w:val="00C07583"/>
    <w:rsid w:val="00C07E56"/>
    <w:rsid w:val="00C10259"/>
    <w:rsid w:val="00C10E48"/>
    <w:rsid w:val="00C11489"/>
    <w:rsid w:val="00C117F5"/>
    <w:rsid w:val="00C12034"/>
    <w:rsid w:val="00C121E6"/>
    <w:rsid w:val="00C124FF"/>
    <w:rsid w:val="00C1283D"/>
    <w:rsid w:val="00C12978"/>
    <w:rsid w:val="00C13B26"/>
    <w:rsid w:val="00C14C59"/>
    <w:rsid w:val="00C15D0A"/>
    <w:rsid w:val="00C16280"/>
    <w:rsid w:val="00C1643A"/>
    <w:rsid w:val="00C1698E"/>
    <w:rsid w:val="00C1716C"/>
    <w:rsid w:val="00C17E31"/>
    <w:rsid w:val="00C17EC4"/>
    <w:rsid w:val="00C20F1E"/>
    <w:rsid w:val="00C21419"/>
    <w:rsid w:val="00C221D4"/>
    <w:rsid w:val="00C2263C"/>
    <w:rsid w:val="00C22B97"/>
    <w:rsid w:val="00C2355E"/>
    <w:rsid w:val="00C2396E"/>
    <w:rsid w:val="00C240E4"/>
    <w:rsid w:val="00C24B76"/>
    <w:rsid w:val="00C25353"/>
    <w:rsid w:val="00C26A04"/>
    <w:rsid w:val="00C2752F"/>
    <w:rsid w:val="00C3044C"/>
    <w:rsid w:val="00C304B2"/>
    <w:rsid w:val="00C30BD7"/>
    <w:rsid w:val="00C30D8D"/>
    <w:rsid w:val="00C30EE1"/>
    <w:rsid w:val="00C3198B"/>
    <w:rsid w:val="00C325A8"/>
    <w:rsid w:val="00C32C9B"/>
    <w:rsid w:val="00C32D18"/>
    <w:rsid w:val="00C3366E"/>
    <w:rsid w:val="00C34A3A"/>
    <w:rsid w:val="00C352B8"/>
    <w:rsid w:val="00C35C08"/>
    <w:rsid w:val="00C374D0"/>
    <w:rsid w:val="00C37673"/>
    <w:rsid w:val="00C3796C"/>
    <w:rsid w:val="00C4094E"/>
    <w:rsid w:val="00C41194"/>
    <w:rsid w:val="00C41BCD"/>
    <w:rsid w:val="00C4218F"/>
    <w:rsid w:val="00C4270E"/>
    <w:rsid w:val="00C432B0"/>
    <w:rsid w:val="00C446EA"/>
    <w:rsid w:val="00C448DA"/>
    <w:rsid w:val="00C44ED7"/>
    <w:rsid w:val="00C44F6A"/>
    <w:rsid w:val="00C44F7C"/>
    <w:rsid w:val="00C46883"/>
    <w:rsid w:val="00C47009"/>
    <w:rsid w:val="00C5017C"/>
    <w:rsid w:val="00C50A06"/>
    <w:rsid w:val="00C50AD4"/>
    <w:rsid w:val="00C5162E"/>
    <w:rsid w:val="00C524CD"/>
    <w:rsid w:val="00C52943"/>
    <w:rsid w:val="00C53CC5"/>
    <w:rsid w:val="00C545E6"/>
    <w:rsid w:val="00C552DB"/>
    <w:rsid w:val="00C5551D"/>
    <w:rsid w:val="00C560D5"/>
    <w:rsid w:val="00C603EE"/>
    <w:rsid w:val="00C6167A"/>
    <w:rsid w:val="00C638A5"/>
    <w:rsid w:val="00C6399E"/>
    <w:rsid w:val="00C665B1"/>
    <w:rsid w:val="00C666C7"/>
    <w:rsid w:val="00C6777E"/>
    <w:rsid w:val="00C6792F"/>
    <w:rsid w:val="00C67DEB"/>
    <w:rsid w:val="00C7335D"/>
    <w:rsid w:val="00C73D55"/>
    <w:rsid w:val="00C73E65"/>
    <w:rsid w:val="00C7426E"/>
    <w:rsid w:val="00C74A2A"/>
    <w:rsid w:val="00C75BDC"/>
    <w:rsid w:val="00C800C8"/>
    <w:rsid w:val="00C80C92"/>
    <w:rsid w:val="00C80D57"/>
    <w:rsid w:val="00C81714"/>
    <w:rsid w:val="00C8251D"/>
    <w:rsid w:val="00C830F0"/>
    <w:rsid w:val="00C83865"/>
    <w:rsid w:val="00C83AAE"/>
    <w:rsid w:val="00C8420C"/>
    <w:rsid w:val="00C847E7"/>
    <w:rsid w:val="00C84DB3"/>
    <w:rsid w:val="00C84E86"/>
    <w:rsid w:val="00C85208"/>
    <w:rsid w:val="00C8674E"/>
    <w:rsid w:val="00C86D46"/>
    <w:rsid w:val="00C9124F"/>
    <w:rsid w:val="00C91A8A"/>
    <w:rsid w:val="00C91B80"/>
    <w:rsid w:val="00C93B28"/>
    <w:rsid w:val="00C94698"/>
    <w:rsid w:val="00C94759"/>
    <w:rsid w:val="00C94E07"/>
    <w:rsid w:val="00C953ED"/>
    <w:rsid w:val="00C95865"/>
    <w:rsid w:val="00C95AE3"/>
    <w:rsid w:val="00C95CC7"/>
    <w:rsid w:val="00C962D5"/>
    <w:rsid w:val="00C96C01"/>
    <w:rsid w:val="00C97F13"/>
    <w:rsid w:val="00CA05EB"/>
    <w:rsid w:val="00CA07CA"/>
    <w:rsid w:val="00CA2DF9"/>
    <w:rsid w:val="00CA31AD"/>
    <w:rsid w:val="00CA4E6E"/>
    <w:rsid w:val="00CA5F24"/>
    <w:rsid w:val="00CA6866"/>
    <w:rsid w:val="00CA75AC"/>
    <w:rsid w:val="00CB04CB"/>
    <w:rsid w:val="00CB2016"/>
    <w:rsid w:val="00CB314C"/>
    <w:rsid w:val="00CB385D"/>
    <w:rsid w:val="00CB404D"/>
    <w:rsid w:val="00CB44CE"/>
    <w:rsid w:val="00CB483F"/>
    <w:rsid w:val="00CB4996"/>
    <w:rsid w:val="00CB5691"/>
    <w:rsid w:val="00CB5CC1"/>
    <w:rsid w:val="00CB61F1"/>
    <w:rsid w:val="00CB6416"/>
    <w:rsid w:val="00CB6617"/>
    <w:rsid w:val="00CB693A"/>
    <w:rsid w:val="00CB74FD"/>
    <w:rsid w:val="00CB7614"/>
    <w:rsid w:val="00CB76BA"/>
    <w:rsid w:val="00CB774D"/>
    <w:rsid w:val="00CC03B1"/>
    <w:rsid w:val="00CC0D6E"/>
    <w:rsid w:val="00CC1AE8"/>
    <w:rsid w:val="00CC3A8C"/>
    <w:rsid w:val="00CC3B9F"/>
    <w:rsid w:val="00CC3EE7"/>
    <w:rsid w:val="00CC4295"/>
    <w:rsid w:val="00CC616D"/>
    <w:rsid w:val="00CC65D6"/>
    <w:rsid w:val="00CC7B4D"/>
    <w:rsid w:val="00CC7F72"/>
    <w:rsid w:val="00CD0F22"/>
    <w:rsid w:val="00CD1CC7"/>
    <w:rsid w:val="00CD1F59"/>
    <w:rsid w:val="00CD2983"/>
    <w:rsid w:val="00CD3017"/>
    <w:rsid w:val="00CD387F"/>
    <w:rsid w:val="00CD485A"/>
    <w:rsid w:val="00CD4907"/>
    <w:rsid w:val="00CD4AED"/>
    <w:rsid w:val="00CD4E51"/>
    <w:rsid w:val="00CD52EA"/>
    <w:rsid w:val="00CD5B06"/>
    <w:rsid w:val="00CD5EBE"/>
    <w:rsid w:val="00CD7147"/>
    <w:rsid w:val="00CD74C5"/>
    <w:rsid w:val="00CD768D"/>
    <w:rsid w:val="00CD7935"/>
    <w:rsid w:val="00CE062B"/>
    <w:rsid w:val="00CE155C"/>
    <w:rsid w:val="00CE1790"/>
    <w:rsid w:val="00CE1977"/>
    <w:rsid w:val="00CE199C"/>
    <w:rsid w:val="00CE1C9B"/>
    <w:rsid w:val="00CE2608"/>
    <w:rsid w:val="00CE2BD9"/>
    <w:rsid w:val="00CE2C8C"/>
    <w:rsid w:val="00CE2ED4"/>
    <w:rsid w:val="00CE3023"/>
    <w:rsid w:val="00CE3C3B"/>
    <w:rsid w:val="00CE4791"/>
    <w:rsid w:val="00CE6117"/>
    <w:rsid w:val="00CE6975"/>
    <w:rsid w:val="00CE6ACA"/>
    <w:rsid w:val="00CE787E"/>
    <w:rsid w:val="00CE7F8E"/>
    <w:rsid w:val="00CF02D4"/>
    <w:rsid w:val="00CF083C"/>
    <w:rsid w:val="00CF0DA8"/>
    <w:rsid w:val="00CF1805"/>
    <w:rsid w:val="00CF1BF6"/>
    <w:rsid w:val="00CF1DEC"/>
    <w:rsid w:val="00CF1E91"/>
    <w:rsid w:val="00CF30AA"/>
    <w:rsid w:val="00CF3A52"/>
    <w:rsid w:val="00CF3BF5"/>
    <w:rsid w:val="00CF529C"/>
    <w:rsid w:val="00CF547D"/>
    <w:rsid w:val="00CF704D"/>
    <w:rsid w:val="00D002BA"/>
    <w:rsid w:val="00D00CD5"/>
    <w:rsid w:val="00D00E52"/>
    <w:rsid w:val="00D01D75"/>
    <w:rsid w:val="00D0262D"/>
    <w:rsid w:val="00D026CB"/>
    <w:rsid w:val="00D02AE5"/>
    <w:rsid w:val="00D02E1C"/>
    <w:rsid w:val="00D03F78"/>
    <w:rsid w:val="00D04071"/>
    <w:rsid w:val="00D041EA"/>
    <w:rsid w:val="00D043F9"/>
    <w:rsid w:val="00D04DC2"/>
    <w:rsid w:val="00D055E3"/>
    <w:rsid w:val="00D05907"/>
    <w:rsid w:val="00D06262"/>
    <w:rsid w:val="00D064F3"/>
    <w:rsid w:val="00D06C07"/>
    <w:rsid w:val="00D10960"/>
    <w:rsid w:val="00D118D3"/>
    <w:rsid w:val="00D11926"/>
    <w:rsid w:val="00D11EBD"/>
    <w:rsid w:val="00D1223C"/>
    <w:rsid w:val="00D123F1"/>
    <w:rsid w:val="00D13112"/>
    <w:rsid w:val="00D1433C"/>
    <w:rsid w:val="00D1472E"/>
    <w:rsid w:val="00D14BCC"/>
    <w:rsid w:val="00D14D3B"/>
    <w:rsid w:val="00D15571"/>
    <w:rsid w:val="00D15C71"/>
    <w:rsid w:val="00D15CA1"/>
    <w:rsid w:val="00D20992"/>
    <w:rsid w:val="00D209FD"/>
    <w:rsid w:val="00D20B44"/>
    <w:rsid w:val="00D20D7A"/>
    <w:rsid w:val="00D212C1"/>
    <w:rsid w:val="00D214B0"/>
    <w:rsid w:val="00D2155F"/>
    <w:rsid w:val="00D2189F"/>
    <w:rsid w:val="00D21CCF"/>
    <w:rsid w:val="00D2215E"/>
    <w:rsid w:val="00D22FEE"/>
    <w:rsid w:val="00D2359C"/>
    <w:rsid w:val="00D2378C"/>
    <w:rsid w:val="00D2389A"/>
    <w:rsid w:val="00D24030"/>
    <w:rsid w:val="00D243C5"/>
    <w:rsid w:val="00D24B8D"/>
    <w:rsid w:val="00D26F2E"/>
    <w:rsid w:val="00D3016C"/>
    <w:rsid w:val="00D3051B"/>
    <w:rsid w:val="00D30F96"/>
    <w:rsid w:val="00D31009"/>
    <w:rsid w:val="00D3196D"/>
    <w:rsid w:val="00D3263B"/>
    <w:rsid w:val="00D33D09"/>
    <w:rsid w:val="00D34343"/>
    <w:rsid w:val="00D3454D"/>
    <w:rsid w:val="00D36B26"/>
    <w:rsid w:val="00D3793C"/>
    <w:rsid w:val="00D40A58"/>
    <w:rsid w:val="00D41A70"/>
    <w:rsid w:val="00D41B88"/>
    <w:rsid w:val="00D41D9B"/>
    <w:rsid w:val="00D41F91"/>
    <w:rsid w:val="00D435EE"/>
    <w:rsid w:val="00D43DAB"/>
    <w:rsid w:val="00D444B7"/>
    <w:rsid w:val="00D445F1"/>
    <w:rsid w:val="00D44B25"/>
    <w:rsid w:val="00D45207"/>
    <w:rsid w:val="00D4543E"/>
    <w:rsid w:val="00D45B0C"/>
    <w:rsid w:val="00D45B22"/>
    <w:rsid w:val="00D45B94"/>
    <w:rsid w:val="00D4721B"/>
    <w:rsid w:val="00D47365"/>
    <w:rsid w:val="00D47D82"/>
    <w:rsid w:val="00D50AC9"/>
    <w:rsid w:val="00D5152C"/>
    <w:rsid w:val="00D51980"/>
    <w:rsid w:val="00D51B62"/>
    <w:rsid w:val="00D52064"/>
    <w:rsid w:val="00D52C35"/>
    <w:rsid w:val="00D52DB3"/>
    <w:rsid w:val="00D5315E"/>
    <w:rsid w:val="00D534D8"/>
    <w:rsid w:val="00D53950"/>
    <w:rsid w:val="00D544E0"/>
    <w:rsid w:val="00D54BC1"/>
    <w:rsid w:val="00D54C0F"/>
    <w:rsid w:val="00D54D8C"/>
    <w:rsid w:val="00D56A4D"/>
    <w:rsid w:val="00D5718E"/>
    <w:rsid w:val="00D60C65"/>
    <w:rsid w:val="00D61380"/>
    <w:rsid w:val="00D62F6D"/>
    <w:rsid w:val="00D62F89"/>
    <w:rsid w:val="00D63E89"/>
    <w:rsid w:val="00D64510"/>
    <w:rsid w:val="00D64A0F"/>
    <w:rsid w:val="00D64A60"/>
    <w:rsid w:val="00D64FF2"/>
    <w:rsid w:val="00D650AE"/>
    <w:rsid w:val="00D65614"/>
    <w:rsid w:val="00D65766"/>
    <w:rsid w:val="00D65CEF"/>
    <w:rsid w:val="00D65E0A"/>
    <w:rsid w:val="00D65E80"/>
    <w:rsid w:val="00D66040"/>
    <w:rsid w:val="00D677D0"/>
    <w:rsid w:val="00D704E7"/>
    <w:rsid w:val="00D7070B"/>
    <w:rsid w:val="00D71920"/>
    <w:rsid w:val="00D72B0D"/>
    <w:rsid w:val="00D7326A"/>
    <w:rsid w:val="00D73DB9"/>
    <w:rsid w:val="00D74C5A"/>
    <w:rsid w:val="00D75610"/>
    <w:rsid w:val="00D756C5"/>
    <w:rsid w:val="00D767E8"/>
    <w:rsid w:val="00D76DF8"/>
    <w:rsid w:val="00D77055"/>
    <w:rsid w:val="00D77073"/>
    <w:rsid w:val="00D7783F"/>
    <w:rsid w:val="00D7788E"/>
    <w:rsid w:val="00D77A9E"/>
    <w:rsid w:val="00D77CDB"/>
    <w:rsid w:val="00D81688"/>
    <w:rsid w:val="00D82771"/>
    <w:rsid w:val="00D82B48"/>
    <w:rsid w:val="00D83742"/>
    <w:rsid w:val="00D83D4B"/>
    <w:rsid w:val="00D84C7B"/>
    <w:rsid w:val="00D853C2"/>
    <w:rsid w:val="00D85AB9"/>
    <w:rsid w:val="00D868AD"/>
    <w:rsid w:val="00D87178"/>
    <w:rsid w:val="00D87A06"/>
    <w:rsid w:val="00D90025"/>
    <w:rsid w:val="00D903B2"/>
    <w:rsid w:val="00D90B4B"/>
    <w:rsid w:val="00D916E6"/>
    <w:rsid w:val="00D91C98"/>
    <w:rsid w:val="00D92AB7"/>
    <w:rsid w:val="00D92BD6"/>
    <w:rsid w:val="00D93BE4"/>
    <w:rsid w:val="00D940E6"/>
    <w:rsid w:val="00D94549"/>
    <w:rsid w:val="00D94704"/>
    <w:rsid w:val="00D94AC6"/>
    <w:rsid w:val="00D94BF7"/>
    <w:rsid w:val="00D94FD2"/>
    <w:rsid w:val="00D95C52"/>
    <w:rsid w:val="00D96905"/>
    <w:rsid w:val="00D96BA4"/>
    <w:rsid w:val="00D96F6A"/>
    <w:rsid w:val="00D97601"/>
    <w:rsid w:val="00D97B4D"/>
    <w:rsid w:val="00DA029C"/>
    <w:rsid w:val="00DA0439"/>
    <w:rsid w:val="00DA052C"/>
    <w:rsid w:val="00DA17DF"/>
    <w:rsid w:val="00DA1D5F"/>
    <w:rsid w:val="00DA1E47"/>
    <w:rsid w:val="00DA204B"/>
    <w:rsid w:val="00DA2773"/>
    <w:rsid w:val="00DA2ADC"/>
    <w:rsid w:val="00DA2B87"/>
    <w:rsid w:val="00DA2BCB"/>
    <w:rsid w:val="00DA41D1"/>
    <w:rsid w:val="00DA4A87"/>
    <w:rsid w:val="00DA4B46"/>
    <w:rsid w:val="00DA5CFA"/>
    <w:rsid w:val="00DA5D55"/>
    <w:rsid w:val="00DA6E98"/>
    <w:rsid w:val="00DA735D"/>
    <w:rsid w:val="00DA77DE"/>
    <w:rsid w:val="00DA7BD3"/>
    <w:rsid w:val="00DB07FC"/>
    <w:rsid w:val="00DB0C13"/>
    <w:rsid w:val="00DB0C92"/>
    <w:rsid w:val="00DB0EA8"/>
    <w:rsid w:val="00DB177D"/>
    <w:rsid w:val="00DB1A65"/>
    <w:rsid w:val="00DB1FB6"/>
    <w:rsid w:val="00DB20FE"/>
    <w:rsid w:val="00DB2BE7"/>
    <w:rsid w:val="00DB3E3E"/>
    <w:rsid w:val="00DB4EE1"/>
    <w:rsid w:val="00DB57D7"/>
    <w:rsid w:val="00DB5933"/>
    <w:rsid w:val="00DB61A2"/>
    <w:rsid w:val="00DB725D"/>
    <w:rsid w:val="00DC009D"/>
    <w:rsid w:val="00DC038B"/>
    <w:rsid w:val="00DC0468"/>
    <w:rsid w:val="00DC0582"/>
    <w:rsid w:val="00DC06D9"/>
    <w:rsid w:val="00DC0F96"/>
    <w:rsid w:val="00DC23B9"/>
    <w:rsid w:val="00DC32B7"/>
    <w:rsid w:val="00DC39BE"/>
    <w:rsid w:val="00DC3C92"/>
    <w:rsid w:val="00DC4B1B"/>
    <w:rsid w:val="00DC545D"/>
    <w:rsid w:val="00DC78E1"/>
    <w:rsid w:val="00DD0801"/>
    <w:rsid w:val="00DD0BFD"/>
    <w:rsid w:val="00DD2A14"/>
    <w:rsid w:val="00DD3882"/>
    <w:rsid w:val="00DD3DE2"/>
    <w:rsid w:val="00DD534E"/>
    <w:rsid w:val="00DD5994"/>
    <w:rsid w:val="00DD60A1"/>
    <w:rsid w:val="00DD7004"/>
    <w:rsid w:val="00DD7706"/>
    <w:rsid w:val="00DD7885"/>
    <w:rsid w:val="00DE01B1"/>
    <w:rsid w:val="00DE12AB"/>
    <w:rsid w:val="00DE16C7"/>
    <w:rsid w:val="00DE1886"/>
    <w:rsid w:val="00DE2462"/>
    <w:rsid w:val="00DE2B0B"/>
    <w:rsid w:val="00DE2CF8"/>
    <w:rsid w:val="00DE3F6B"/>
    <w:rsid w:val="00DE5207"/>
    <w:rsid w:val="00DE5AE1"/>
    <w:rsid w:val="00DE6772"/>
    <w:rsid w:val="00DE68A2"/>
    <w:rsid w:val="00DE784B"/>
    <w:rsid w:val="00DF1AD6"/>
    <w:rsid w:val="00DF27AF"/>
    <w:rsid w:val="00DF354C"/>
    <w:rsid w:val="00DF4B9B"/>
    <w:rsid w:val="00DF5156"/>
    <w:rsid w:val="00DF5D7C"/>
    <w:rsid w:val="00DF6448"/>
    <w:rsid w:val="00DF6823"/>
    <w:rsid w:val="00DF7216"/>
    <w:rsid w:val="00E007C2"/>
    <w:rsid w:val="00E02795"/>
    <w:rsid w:val="00E02CEC"/>
    <w:rsid w:val="00E034D4"/>
    <w:rsid w:val="00E034E1"/>
    <w:rsid w:val="00E0432D"/>
    <w:rsid w:val="00E05566"/>
    <w:rsid w:val="00E066D5"/>
    <w:rsid w:val="00E07AF3"/>
    <w:rsid w:val="00E105B0"/>
    <w:rsid w:val="00E11B42"/>
    <w:rsid w:val="00E12608"/>
    <w:rsid w:val="00E12E48"/>
    <w:rsid w:val="00E1427D"/>
    <w:rsid w:val="00E150ED"/>
    <w:rsid w:val="00E152B5"/>
    <w:rsid w:val="00E1585B"/>
    <w:rsid w:val="00E15AC1"/>
    <w:rsid w:val="00E16A17"/>
    <w:rsid w:val="00E16A1C"/>
    <w:rsid w:val="00E16C1F"/>
    <w:rsid w:val="00E16E37"/>
    <w:rsid w:val="00E20130"/>
    <w:rsid w:val="00E205E9"/>
    <w:rsid w:val="00E210DC"/>
    <w:rsid w:val="00E21649"/>
    <w:rsid w:val="00E22A3C"/>
    <w:rsid w:val="00E22ECA"/>
    <w:rsid w:val="00E23C52"/>
    <w:rsid w:val="00E23CBC"/>
    <w:rsid w:val="00E24A73"/>
    <w:rsid w:val="00E24ED8"/>
    <w:rsid w:val="00E25332"/>
    <w:rsid w:val="00E2618B"/>
    <w:rsid w:val="00E2620F"/>
    <w:rsid w:val="00E30A47"/>
    <w:rsid w:val="00E3150E"/>
    <w:rsid w:val="00E319F0"/>
    <w:rsid w:val="00E32CBF"/>
    <w:rsid w:val="00E336BD"/>
    <w:rsid w:val="00E33A61"/>
    <w:rsid w:val="00E33C1F"/>
    <w:rsid w:val="00E33FD4"/>
    <w:rsid w:val="00E3566A"/>
    <w:rsid w:val="00E35A09"/>
    <w:rsid w:val="00E35C31"/>
    <w:rsid w:val="00E36CD1"/>
    <w:rsid w:val="00E37122"/>
    <w:rsid w:val="00E37500"/>
    <w:rsid w:val="00E401F6"/>
    <w:rsid w:val="00E41A88"/>
    <w:rsid w:val="00E420F7"/>
    <w:rsid w:val="00E426A1"/>
    <w:rsid w:val="00E42715"/>
    <w:rsid w:val="00E4316E"/>
    <w:rsid w:val="00E43738"/>
    <w:rsid w:val="00E43B63"/>
    <w:rsid w:val="00E43F1B"/>
    <w:rsid w:val="00E447BB"/>
    <w:rsid w:val="00E4492C"/>
    <w:rsid w:val="00E45267"/>
    <w:rsid w:val="00E46567"/>
    <w:rsid w:val="00E46EAF"/>
    <w:rsid w:val="00E47D9B"/>
    <w:rsid w:val="00E5065F"/>
    <w:rsid w:val="00E5188D"/>
    <w:rsid w:val="00E51EAB"/>
    <w:rsid w:val="00E522B2"/>
    <w:rsid w:val="00E531FF"/>
    <w:rsid w:val="00E54AD6"/>
    <w:rsid w:val="00E54F62"/>
    <w:rsid w:val="00E565ED"/>
    <w:rsid w:val="00E56C02"/>
    <w:rsid w:val="00E57498"/>
    <w:rsid w:val="00E578CF"/>
    <w:rsid w:val="00E57CFF"/>
    <w:rsid w:val="00E60688"/>
    <w:rsid w:val="00E625DF"/>
    <w:rsid w:val="00E62BC2"/>
    <w:rsid w:val="00E62C8E"/>
    <w:rsid w:val="00E635F9"/>
    <w:rsid w:val="00E63656"/>
    <w:rsid w:val="00E64745"/>
    <w:rsid w:val="00E66201"/>
    <w:rsid w:val="00E666C1"/>
    <w:rsid w:val="00E67D20"/>
    <w:rsid w:val="00E701A1"/>
    <w:rsid w:val="00E7045A"/>
    <w:rsid w:val="00E709D7"/>
    <w:rsid w:val="00E721C8"/>
    <w:rsid w:val="00E72642"/>
    <w:rsid w:val="00E73BF3"/>
    <w:rsid w:val="00E75239"/>
    <w:rsid w:val="00E75CCE"/>
    <w:rsid w:val="00E75E45"/>
    <w:rsid w:val="00E76058"/>
    <w:rsid w:val="00E76D3C"/>
    <w:rsid w:val="00E76FC5"/>
    <w:rsid w:val="00E7706F"/>
    <w:rsid w:val="00E770EF"/>
    <w:rsid w:val="00E77778"/>
    <w:rsid w:val="00E77DB7"/>
    <w:rsid w:val="00E81628"/>
    <w:rsid w:val="00E8188D"/>
    <w:rsid w:val="00E822A3"/>
    <w:rsid w:val="00E82A60"/>
    <w:rsid w:val="00E8418F"/>
    <w:rsid w:val="00E8457F"/>
    <w:rsid w:val="00E86057"/>
    <w:rsid w:val="00E868F0"/>
    <w:rsid w:val="00E86F3C"/>
    <w:rsid w:val="00E90421"/>
    <w:rsid w:val="00E909F9"/>
    <w:rsid w:val="00E90BB9"/>
    <w:rsid w:val="00E91B67"/>
    <w:rsid w:val="00E91D25"/>
    <w:rsid w:val="00E91E17"/>
    <w:rsid w:val="00E91F00"/>
    <w:rsid w:val="00E9200A"/>
    <w:rsid w:val="00E92D78"/>
    <w:rsid w:val="00E934E3"/>
    <w:rsid w:val="00E93C0E"/>
    <w:rsid w:val="00E95058"/>
    <w:rsid w:val="00E95613"/>
    <w:rsid w:val="00E9562C"/>
    <w:rsid w:val="00E9622A"/>
    <w:rsid w:val="00E96CE0"/>
    <w:rsid w:val="00E97295"/>
    <w:rsid w:val="00E97DC0"/>
    <w:rsid w:val="00EA0767"/>
    <w:rsid w:val="00EA2224"/>
    <w:rsid w:val="00EA30C2"/>
    <w:rsid w:val="00EA45B1"/>
    <w:rsid w:val="00EA46ED"/>
    <w:rsid w:val="00EA53F5"/>
    <w:rsid w:val="00EA5C6E"/>
    <w:rsid w:val="00EA6096"/>
    <w:rsid w:val="00EA6614"/>
    <w:rsid w:val="00EA6639"/>
    <w:rsid w:val="00EA67C9"/>
    <w:rsid w:val="00EA730F"/>
    <w:rsid w:val="00EA7C4E"/>
    <w:rsid w:val="00EB07D0"/>
    <w:rsid w:val="00EB0E6A"/>
    <w:rsid w:val="00EB1582"/>
    <w:rsid w:val="00EB191D"/>
    <w:rsid w:val="00EB1C7B"/>
    <w:rsid w:val="00EB327F"/>
    <w:rsid w:val="00EB32B5"/>
    <w:rsid w:val="00EB38AE"/>
    <w:rsid w:val="00EB4312"/>
    <w:rsid w:val="00EB482E"/>
    <w:rsid w:val="00EB4FCA"/>
    <w:rsid w:val="00EB50CB"/>
    <w:rsid w:val="00EB5C95"/>
    <w:rsid w:val="00EB747D"/>
    <w:rsid w:val="00EB77F9"/>
    <w:rsid w:val="00EB788A"/>
    <w:rsid w:val="00EC0F92"/>
    <w:rsid w:val="00EC2C5C"/>
    <w:rsid w:val="00EC32A0"/>
    <w:rsid w:val="00EC4063"/>
    <w:rsid w:val="00EC4659"/>
    <w:rsid w:val="00EC4FD4"/>
    <w:rsid w:val="00EC52AF"/>
    <w:rsid w:val="00EC5A07"/>
    <w:rsid w:val="00EC63E3"/>
    <w:rsid w:val="00EC6CA8"/>
    <w:rsid w:val="00EC7A48"/>
    <w:rsid w:val="00EC7B5E"/>
    <w:rsid w:val="00ED0C1F"/>
    <w:rsid w:val="00ED0FE1"/>
    <w:rsid w:val="00ED120C"/>
    <w:rsid w:val="00ED166B"/>
    <w:rsid w:val="00ED1D41"/>
    <w:rsid w:val="00ED373C"/>
    <w:rsid w:val="00ED38DA"/>
    <w:rsid w:val="00ED4478"/>
    <w:rsid w:val="00ED694D"/>
    <w:rsid w:val="00ED6B1D"/>
    <w:rsid w:val="00ED7227"/>
    <w:rsid w:val="00ED72C1"/>
    <w:rsid w:val="00ED7AEC"/>
    <w:rsid w:val="00EE03A2"/>
    <w:rsid w:val="00EE0615"/>
    <w:rsid w:val="00EE0780"/>
    <w:rsid w:val="00EE1AC9"/>
    <w:rsid w:val="00EE264D"/>
    <w:rsid w:val="00EE2654"/>
    <w:rsid w:val="00EE2AC7"/>
    <w:rsid w:val="00EE2F83"/>
    <w:rsid w:val="00EE423D"/>
    <w:rsid w:val="00EE4E14"/>
    <w:rsid w:val="00EE6319"/>
    <w:rsid w:val="00EE716C"/>
    <w:rsid w:val="00EE754B"/>
    <w:rsid w:val="00EE7E40"/>
    <w:rsid w:val="00EE7FF9"/>
    <w:rsid w:val="00EF04C7"/>
    <w:rsid w:val="00EF0DCA"/>
    <w:rsid w:val="00EF14BC"/>
    <w:rsid w:val="00EF1FAE"/>
    <w:rsid w:val="00EF337D"/>
    <w:rsid w:val="00EF3ACD"/>
    <w:rsid w:val="00EF3F88"/>
    <w:rsid w:val="00EF41F8"/>
    <w:rsid w:val="00EF648C"/>
    <w:rsid w:val="00F00550"/>
    <w:rsid w:val="00F0215B"/>
    <w:rsid w:val="00F0277B"/>
    <w:rsid w:val="00F02815"/>
    <w:rsid w:val="00F03D1C"/>
    <w:rsid w:val="00F03F86"/>
    <w:rsid w:val="00F04BB9"/>
    <w:rsid w:val="00F0582D"/>
    <w:rsid w:val="00F05E58"/>
    <w:rsid w:val="00F06009"/>
    <w:rsid w:val="00F06FF2"/>
    <w:rsid w:val="00F07193"/>
    <w:rsid w:val="00F07330"/>
    <w:rsid w:val="00F07344"/>
    <w:rsid w:val="00F079EC"/>
    <w:rsid w:val="00F07CE8"/>
    <w:rsid w:val="00F107B1"/>
    <w:rsid w:val="00F11ECE"/>
    <w:rsid w:val="00F12965"/>
    <w:rsid w:val="00F12E59"/>
    <w:rsid w:val="00F13EFB"/>
    <w:rsid w:val="00F149F7"/>
    <w:rsid w:val="00F16566"/>
    <w:rsid w:val="00F172F9"/>
    <w:rsid w:val="00F17731"/>
    <w:rsid w:val="00F17A75"/>
    <w:rsid w:val="00F17E3C"/>
    <w:rsid w:val="00F20607"/>
    <w:rsid w:val="00F208C2"/>
    <w:rsid w:val="00F20B8D"/>
    <w:rsid w:val="00F2118D"/>
    <w:rsid w:val="00F21544"/>
    <w:rsid w:val="00F21C5D"/>
    <w:rsid w:val="00F2282A"/>
    <w:rsid w:val="00F241AE"/>
    <w:rsid w:val="00F25B0F"/>
    <w:rsid w:val="00F25DDF"/>
    <w:rsid w:val="00F26689"/>
    <w:rsid w:val="00F26D4C"/>
    <w:rsid w:val="00F27228"/>
    <w:rsid w:val="00F278B0"/>
    <w:rsid w:val="00F27AA5"/>
    <w:rsid w:val="00F30304"/>
    <w:rsid w:val="00F31106"/>
    <w:rsid w:val="00F31574"/>
    <w:rsid w:val="00F31ADE"/>
    <w:rsid w:val="00F31F4F"/>
    <w:rsid w:val="00F32F4B"/>
    <w:rsid w:val="00F34768"/>
    <w:rsid w:val="00F34A3C"/>
    <w:rsid w:val="00F34D3E"/>
    <w:rsid w:val="00F362EE"/>
    <w:rsid w:val="00F36647"/>
    <w:rsid w:val="00F36C19"/>
    <w:rsid w:val="00F37296"/>
    <w:rsid w:val="00F374CC"/>
    <w:rsid w:val="00F378C0"/>
    <w:rsid w:val="00F4053E"/>
    <w:rsid w:val="00F40562"/>
    <w:rsid w:val="00F40B5D"/>
    <w:rsid w:val="00F40F35"/>
    <w:rsid w:val="00F41562"/>
    <w:rsid w:val="00F415C4"/>
    <w:rsid w:val="00F420CB"/>
    <w:rsid w:val="00F4370B"/>
    <w:rsid w:val="00F454E9"/>
    <w:rsid w:val="00F45788"/>
    <w:rsid w:val="00F45A6F"/>
    <w:rsid w:val="00F45CA4"/>
    <w:rsid w:val="00F466E8"/>
    <w:rsid w:val="00F46BCB"/>
    <w:rsid w:val="00F504DC"/>
    <w:rsid w:val="00F50C71"/>
    <w:rsid w:val="00F50C97"/>
    <w:rsid w:val="00F50F67"/>
    <w:rsid w:val="00F50F7F"/>
    <w:rsid w:val="00F522AE"/>
    <w:rsid w:val="00F52740"/>
    <w:rsid w:val="00F53D3E"/>
    <w:rsid w:val="00F541BA"/>
    <w:rsid w:val="00F544DD"/>
    <w:rsid w:val="00F54832"/>
    <w:rsid w:val="00F54C5C"/>
    <w:rsid w:val="00F555E3"/>
    <w:rsid w:val="00F55EB9"/>
    <w:rsid w:val="00F55FDF"/>
    <w:rsid w:val="00F57211"/>
    <w:rsid w:val="00F60FB9"/>
    <w:rsid w:val="00F61699"/>
    <w:rsid w:val="00F61D16"/>
    <w:rsid w:val="00F61FFD"/>
    <w:rsid w:val="00F62906"/>
    <w:rsid w:val="00F62C39"/>
    <w:rsid w:val="00F62E79"/>
    <w:rsid w:val="00F634A7"/>
    <w:rsid w:val="00F635EA"/>
    <w:rsid w:val="00F63900"/>
    <w:rsid w:val="00F647D9"/>
    <w:rsid w:val="00F65C61"/>
    <w:rsid w:val="00F66891"/>
    <w:rsid w:val="00F67353"/>
    <w:rsid w:val="00F674B4"/>
    <w:rsid w:val="00F67BE6"/>
    <w:rsid w:val="00F70737"/>
    <w:rsid w:val="00F70CEB"/>
    <w:rsid w:val="00F70F8C"/>
    <w:rsid w:val="00F71AE4"/>
    <w:rsid w:val="00F722EF"/>
    <w:rsid w:val="00F72675"/>
    <w:rsid w:val="00F7267D"/>
    <w:rsid w:val="00F72EEB"/>
    <w:rsid w:val="00F73A0F"/>
    <w:rsid w:val="00F73C16"/>
    <w:rsid w:val="00F74FB3"/>
    <w:rsid w:val="00F74FC9"/>
    <w:rsid w:val="00F754FD"/>
    <w:rsid w:val="00F755D0"/>
    <w:rsid w:val="00F756EF"/>
    <w:rsid w:val="00F75C29"/>
    <w:rsid w:val="00F75CEE"/>
    <w:rsid w:val="00F77299"/>
    <w:rsid w:val="00F77715"/>
    <w:rsid w:val="00F77AA4"/>
    <w:rsid w:val="00F809A1"/>
    <w:rsid w:val="00F80DA4"/>
    <w:rsid w:val="00F81221"/>
    <w:rsid w:val="00F8162D"/>
    <w:rsid w:val="00F81EA8"/>
    <w:rsid w:val="00F8201A"/>
    <w:rsid w:val="00F82F1D"/>
    <w:rsid w:val="00F83DE4"/>
    <w:rsid w:val="00F83FD2"/>
    <w:rsid w:val="00F8415B"/>
    <w:rsid w:val="00F84802"/>
    <w:rsid w:val="00F867B2"/>
    <w:rsid w:val="00F87324"/>
    <w:rsid w:val="00F87344"/>
    <w:rsid w:val="00F87615"/>
    <w:rsid w:val="00F87FE6"/>
    <w:rsid w:val="00F90038"/>
    <w:rsid w:val="00F903B0"/>
    <w:rsid w:val="00F90E7A"/>
    <w:rsid w:val="00F9106F"/>
    <w:rsid w:val="00F91F24"/>
    <w:rsid w:val="00F922EE"/>
    <w:rsid w:val="00F9236B"/>
    <w:rsid w:val="00F94AC5"/>
    <w:rsid w:val="00F95174"/>
    <w:rsid w:val="00F97823"/>
    <w:rsid w:val="00FA05CE"/>
    <w:rsid w:val="00FA125C"/>
    <w:rsid w:val="00FA1872"/>
    <w:rsid w:val="00FA2989"/>
    <w:rsid w:val="00FA29F2"/>
    <w:rsid w:val="00FA2C10"/>
    <w:rsid w:val="00FA34B8"/>
    <w:rsid w:val="00FA3539"/>
    <w:rsid w:val="00FA3AFA"/>
    <w:rsid w:val="00FA407F"/>
    <w:rsid w:val="00FA432F"/>
    <w:rsid w:val="00FA4BD5"/>
    <w:rsid w:val="00FA5A4E"/>
    <w:rsid w:val="00FA689E"/>
    <w:rsid w:val="00FA7BC1"/>
    <w:rsid w:val="00FA7F25"/>
    <w:rsid w:val="00FB09BB"/>
    <w:rsid w:val="00FB14BD"/>
    <w:rsid w:val="00FB193F"/>
    <w:rsid w:val="00FB2048"/>
    <w:rsid w:val="00FB20A4"/>
    <w:rsid w:val="00FB3624"/>
    <w:rsid w:val="00FB4056"/>
    <w:rsid w:val="00FB44F9"/>
    <w:rsid w:val="00FB46DF"/>
    <w:rsid w:val="00FB471C"/>
    <w:rsid w:val="00FB52F0"/>
    <w:rsid w:val="00FB5663"/>
    <w:rsid w:val="00FB5B60"/>
    <w:rsid w:val="00FB5FA9"/>
    <w:rsid w:val="00FB6080"/>
    <w:rsid w:val="00FB60FA"/>
    <w:rsid w:val="00FB683B"/>
    <w:rsid w:val="00FB6D6F"/>
    <w:rsid w:val="00FB79F9"/>
    <w:rsid w:val="00FB7EAF"/>
    <w:rsid w:val="00FC0780"/>
    <w:rsid w:val="00FC1770"/>
    <w:rsid w:val="00FC1BEF"/>
    <w:rsid w:val="00FC225D"/>
    <w:rsid w:val="00FC2C74"/>
    <w:rsid w:val="00FC33DE"/>
    <w:rsid w:val="00FC3B0E"/>
    <w:rsid w:val="00FC41FA"/>
    <w:rsid w:val="00FC4AD9"/>
    <w:rsid w:val="00FC4FE8"/>
    <w:rsid w:val="00FC5A5D"/>
    <w:rsid w:val="00FC6C0B"/>
    <w:rsid w:val="00FC770B"/>
    <w:rsid w:val="00FC7BE8"/>
    <w:rsid w:val="00FD0521"/>
    <w:rsid w:val="00FD0ACD"/>
    <w:rsid w:val="00FD172F"/>
    <w:rsid w:val="00FD38BE"/>
    <w:rsid w:val="00FD46C7"/>
    <w:rsid w:val="00FD4EE3"/>
    <w:rsid w:val="00FD4F1D"/>
    <w:rsid w:val="00FD659B"/>
    <w:rsid w:val="00FD66E0"/>
    <w:rsid w:val="00FD7E6B"/>
    <w:rsid w:val="00FD7FE1"/>
    <w:rsid w:val="00FE09AD"/>
    <w:rsid w:val="00FE1419"/>
    <w:rsid w:val="00FE1A73"/>
    <w:rsid w:val="00FE1C6D"/>
    <w:rsid w:val="00FE1F56"/>
    <w:rsid w:val="00FE2210"/>
    <w:rsid w:val="00FE348B"/>
    <w:rsid w:val="00FE484A"/>
    <w:rsid w:val="00FE5560"/>
    <w:rsid w:val="00FE5987"/>
    <w:rsid w:val="00FE63CD"/>
    <w:rsid w:val="00FE68FF"/>
    <w:rsid w:val="00FE6C9B"/>
    <w:rsid w:val="00FE768D"/>
    <w:rsid w:val="00FE7CC2"/>
    <w:rsid w:val="00FE7D05"/>
    <w:rsid w:val="00FF0B0E"/>
    <w:rsid w:val="00FF1611"/>
    <w:rsid w:val="00FF1690"/>
    <w:rsid w:val="00FF2869"/>
    <w:rsid w:val="00FF2C7B"/>
    <w:rsid w:val="00FF3ED3"/>
    <w:rsid w:val="00FF429B"/>
    <w:rsid w:val="00FF4991"/>
    <w:rsid w:val="00FF4E3A"/>
    <w:rsid w:val="00FF53EB"/>
    <w:rsid w:val="00FF54B5"/>
    <w:rsid w:val="00FF5A1F"/>
    <w:rsid w:val="00FF7938"/>
    <w:rsid w:val="01022C19"/>
    <w:rsid w:val="01180AFD"/>
    <w:rsid w:val="01206A1C"/>
    <w:rsid w:val="0141245C"/>
    <w:rsid w:val="014A66FF"/>
    <w:rsid w:val="017D286F"/>
    <w:rsid w:val="01887498"/>
    <w:rsid w:val="01B1590A"/>
    <w:rsid w:val="01B3017B"/>
    <w:rsid w:val="021D04ED"/>
    <w:rsid w:val="022C48CF"/>
    <w:rsid w:val="0231577B"/>
    <w:rsid w:val="026D5649"/>
    <w:rsid w:val="026F34C5"/>
    <w:rsid w:val="02793C75"/>
    <w:rsid w:val="02811174"/>
    <w:rsid w:val="028948E6"/>
    <w:rsid w:val="02906BC7"/>
    <w:rsid w:val="02A33799"/>
    <w:rsid w:val="02B42D86"/>
    <w:rsid w:val="02BB0406"/>
    <w:rsid w:val="02C40900"/>
    <w:rsid w:val="02CD148B"/>
    <w:rsid w:val="02CF2ED4"/>
    <w:rsid w:val="02F51B15"/>
    <w:rsid w:val="02FD34A4"/>
    <w:rsid w:val="0342583E"/>
    <w:rsid w:val="0389171A"/>
    <w:rsid w:val="03F45C08"/>
    <w:rsid w:val="03FC7C18"/>
    <w:rsid w:val="03FE0FDA"/>
    <w:rsid w:val="040556DD"/>
    <w:rsid w:val="04260E2B"/>
    <w:rsid w:val="04280C57"/>
    <w:rsid w:val="045264A9"/>
    <w:rsid w:val="04673CA2"/>
    <w:rsid w:val="048A0066"/>
    <w:rsid w:val="04910DFD"/>
    <w:rsid w:val="049D3B67"/>
    <w:rsid w:val="04A903FC"/>
    <w:rsid w:val="04B8735B"/>
    <w:rsid w:val="04E07C49"/>
    <w:rsid w:val="04FE4606"/>
    <w:rsid w:val="05015EA4"/>
    <w:rsid w:val="05067FBF"/>
    <w:rsid w:val="05332E42"/>
    <w:rsid w:val="054E2069"/>
    <w:rsid w:val="055A6A50"/>
    <w:rsid w:val="055F4548"/>
    <w:rsid w:val="058770A7"/>
    <w:rsid w:val="05925B0F"/>
    <w:rsid w:val="05BE5746"/>
    <w:rsid w:val="05BF7FA8"/>
    <w:rsid w:val="05CC0260"/>
    <w:rsid w:val="05EB743C"/>
    <w:rsid w:val="05F87E0A"/>
    <w:rsid w:val="0694457B"/>
    <w:rsid w:val="0695381E"/>
    <w:rsid w:val="069C40D7"/>
    <w:rsid w:val="06B30152"/>
    <w:rsid w:val="06B60FFE"/>
    <w:rsid w:val="06D40FD9"/>
    <w:rsid w:val="06DF3EE5"/>
    <w:rsid w:val="06E67460"/>
    <w:rsid w:val="06E97058"/>
    <w:rsid w:val="072C1530"/>
    <w:rsid w:val="072D4EC7"/>
    <w:rsid w:val="073C38DB"/>
    <w:rsid w:val="073F5E71"/>
    <w:rsid w:val="074537CF"/>
    <w:rsid w:val="0765191C"/>
    <w:rsid w:val="07B71643"/>
    <w:rsid w:val="07BA04EE"/>
    <w:rsid w:val="07BD241E"/>
    <w:rsid w:val="07CF22F6"/>
    <w:rsid w:val="07DC7346"/>
    <w:rsid w:val="07E22265"/>
    <w:rsid w:val="07ED0962"/>
    <w:rsid w:val="080D4830"/>
    <w:rsid w:val="08206FD4"/>
    <w:rsid w:val="082F3A89"/>
    <w:rsid w:val="08613DB7"/>
    <w:rsid w:val="08934B17"/>
    <w:rsid w:val="08AA723A"/>
    <w:rsid w:val="08DC023A"/>
    <w:rsid w:val="08E27DB2"/>
    <w:rsid w:val="08E636EB"/>
    <w:rsid w:val="08EC07E0"/>
    <w:rsid w:val="08F57183"/>
    <w:rsid w:val="091B60CD"/>
    <w:rsid w:val="092901E8"/>
    <w:rsid w:val="09493D9E"/>
    <w:rsid w:val="09550785"/>
    <w:rsid w:val="095803C2"/>
    <w:rsid w:val="097F5FB9"/>
    <w:rsid w:val="099C41B4"/>
    <w:rsid w:val="09A87468"/>
    <w:rsid w:val="09BA06BE"/>
    <w:rsid w:val="09DC6251"/>
    <w:rsid w:val="09F935EE"/>
    <w:rsid w:val="0A2770E1"/>
    <w:rsid w:val="0A6441DB"/>
    <w:rsid w:val="0ACF67AE"/>
    <w:rsid w:val="0AD228B8"/>
    <w:rsid w:val="0AD50EA6"/>
    <w:rsid w:val="0AD851DC"/>
    <w:rsid w:val="0ADD4A50"/>
    <w:rsid w:val="0AE662D2"/>
    <w:rsid w:val="0B3A2A43"/>
    <w:rsid w:val="0B4104C1"/>
    <w:rsid w:val="0B470389"/>
    <w:rsid w:val="0B492594"/>
    <w:rsid w:val="0B5F56D3"/>
    <w:rsid w:val="0B84635D"/>
    <w:rsid w:val="0B9F6417"/>
    <w:rsid w:val="0BBC7863"/>
    <w:rsid w:val="0BDE751C"/>
    <w:rsid w:val="0BF00A21"/>
    <w:rsid w:val="0BF5268F"/>
    <w:rsid w:val="0C140ABA"/>
    <w:rsid w:val="0C181B18"/>
    <w:rsid w:val="0C346B5F"/>
    <w:rsid w:val="0C3B1C9C"/>
    <w:rsid w:val="0C423C33"/>
    <w:rsid w:val="0C6D43B9"/>
    <w:rsid w:val="0C6F243B"/>
    <w:rsid w:val="0C7F37E3"/>
    <w:rsid w:val="0C976E65"/>
    <w:rsid w:val="0CE91C36"/>
    <w:rsid w:val="0CED3A0F"/>
    <w:rsid w:val="0D4F11D3"/>
    <w:rsid w:val="0D51310C"/>
    <w:rsid w:val="0D7265E9"/>
    <w:rsid w:val="0D7874BE"/>
    <w:rsid w:val="0D813C2B"/>
    <w:rsid w:val="0D8633EB"/>
    <w:rsid w:val="0D8634F1"/>
    <w:rsid w:val="0D925592"/>
    <w:rsid w:val="0D934F3D"/>
    <w:rsid w:val="0DB52116"/>
    <w:rsid w:val="0DC15DDD"/>
    <w:rsid w:val="0DCE03F2"/>
    <w:rsid w:val="0DD52747"/>
    <w:rsid w:val="0DD5381B"/>
    <w:rsid w:val="0DDC74AE"/>
    <w:rsid w:val="0E156536"/>
    <w:rsid w:val="0E2A49D7"/>
    <w:rsid w:val="0E384AAD"/>
    <w:rsid w:val="0E3C1DD5"/>
    <w:rsid w:val="0E3C55D3"/>
    <w:rsid w:val="0E405D7D"/>
    <w:rsid w:val="0E692C39"/>
    <w:rsid w:val="0E7F325E"/>
    <w:rsid w:val="0EA7486B"/>
    <w:rsid w:val="0EA94074"/>
    <w:rsid w:val="0ED77522"/>
    <w:rsid w:val="0EDA1F57"/>
    <w:rsid w:val="0EF620C5"/>
    <w:rsid w:val="0F0A60D9"/>
    <w:rsid w:val="0F114F36"/>
    <w:rsid w:val="0F2261A8"/>
    <w:rsid w:val="0F2E6815"/>
    <w:rsid w:val="0F312776"/>
    <w:rsid w:val="0F5C67CB"/>
    <w:rsid w:val="0F696B20"/>
    <w:rsid w:val="0F703E2A"/>
    <w:rsid w:val="0FA13193"/>
    <w:rsid w:val="0FA45DAA"/>
    <w:rsid w:val="0FC0211C"/>
    <w:rsid w:val="0FE173D0"/>
    <w:rsid w:val="0FFF6079"/>
    <w:rsid w:val="102827BB"/>
    <w:rsid w:val="102B0FF6"/>
    <w:rsid w:val="105301D7"/>
    <w:rsid w:val="10577429"/>
    <w:rsid w:val="106E57BB"/>
    <w:rsid w:val="10715386"/>
    <w:rsid w:val="107A5BE8"/>
    <w:rsid w:val="10BA45DE"/>
    <w:rsid w:val="10C75EEF"/>
    <w:rsid w:val="10C92AA1"/>
    <w:rsid w:val="10EA1EE2"/>
    <w:rsid w:val="10F4280C"/>
    <w:rsid w:val="10F53DA7"/>
    <w:rsid w:val="11001040"/>
    <w:rsid w:val="11103179"/>
    <w:rsid w:val="11387860"/>
    <w:rsid w:val="116003F7"/>
    <w:rsid w:val="116347B4"/>
    <w:rsid w:val="11810BD7"/>
    <w:rsid w:val="11906A39"/>
    <w:rsid w:val="11BC4852"/>
    <w:rsid w:val="11C030C9"/>
    <w:rsid w:val="11C76588"/>
    <w:rsid w:val="11DA46E9"/>
    <w:rsid w:val="11DD6B92"/>
    <w:rsid w:val="11F35A50"/>
    <w:rsid w:val="11F36B75"/>
    <w:rsid w:val="12432A49"/>
    <w:rsid w:val="124D7FFE"/>
    <w:rsid w:val="124E4DA1"/>
    <w:rsid w:val="12505336"/>
    <w:rsid w:val="12552659"/>
    <w:rsid w:val="125E0077"/>
    <w:rsid w:val="125E4936"/>
    <w:rsid w:val="126539A4"/>
    <w:rsid w:val="12833940"/>
    <w:rsid w:val="128B1D7F"/>
    <w:rsid w:val="128E48CD"/>
    <w:rsid w:val="12B37893"/>
    <w:rsid w:val="12C329EB"/>
    <w:rsid w:val="12CC4F0E"/>
    <w:rsid w:val="12D726B4"/>
    <w:rsid w:val="12DD62D4"/>
    <w:rsid w:val="12EA24E7"/>
    <w:rsid w:val="12EC1F42"/>
    <w:rsid w:val="12FB1C8A"/>
    <w:rsid w:val="13196AAF"/>
    <w:rsid w:val="133E1BF6"/>
    <w:rsid w:val="135D2E40"/>
    <w:rsid w:val="13716683"/>
    <w:rsid w:val="137C122A"/>
    <w:rsid w:val="137F004C"/>
    <w:rsid w:val="13813515"/>
    <w:rsid w:val="138E0DFB"/>
    <w:rsid w:val="13B9335E"/>
    <w:rsid w:val="13CB7DA9"/>
    <w:rsid w:val="13DE6C67"/>
    <w:rsid w:val="13E41975"/>
    <w:rsid w:val="13FD2FC8"/>
    <w:rsid w:val="14306C76"/>
    <w:rsid w:val="14445619"/>
    <w:rsid w:val="14681491"/>
    <w:rsid w:val="147017D1"/>
    <w:rsid w:val="14817476"/>
    <w:rsid w:val="148E5037"/>
    <w:rsid w:val="14942891"/>
    <w:rsid w:val="149A2233"/>
    <w:rsid w:val="14A224E2"/>
    <w:rsid w:val="14B54CC2"/>
    <w:rsid w:val="14E661D8"/>
    <w:rsid w:val="14F61C0B"/>
    <w:rsid w:val="14F819A0"/>
    <w:rsid w:val="15046468"/>
    <w:rsid w:val="15123419"/>
    <w:rsid w:val="1533014C"/>
    <w:rsid w:val="154F67B8"/>
    <w:rsid w:val="15506835"/>
    <w:rsid w:val="15522158"/>
    <w:rsid w:val="1563048A"/>
    <w:rsid w:val="15881A73"/>
    <w:rsid w:val="159C1C5C"/>
    <w:rsid w:val="15A27725"/>
    <w:rsid w:val="15A60698"/>
    <w:rsid w:val="15BE5902"/>
    <w:rsid w:val="15D01057"/>
    <w:rsid w:val="15D54B4C"/>
    <w:rsid w:val="15D75D08"/>
    <w:rsid w:val="15DB3241"/>
    <w:rsid w:val="162940C8"/>
    <w:rsid w:val="163B669D"/>
    <w:rsid w:val="164728A1"/>
    <w:rsid w:val="164D62AF"/>
    <w:rsid w:val="16516629"/>
    <w:rsid w:val="1652311B"/>
    <w:rsid w:val="1656772A"/>
    <w:rsid w:val="165B0765"/>
    <w:rsid w:val="166C7F3B"/>
    <w:rsid w:val="16756661"/>
    <w:rsid w:val="16793C89"/>
    <w:rsid w:val="16816987"/>
    <w:rsid w:val="169A648C"/>
    <w:rsid w:val="169D1CD1"/>
    <w:rsid w:val="16A379C5"/>
    <w:rsid w:val="16B8098B"/>
    <w:rsid w:val="16DC45D9"/>
    <w:rsid w:val="16E22CF2"/>
    <w:rsid w:val="16F17126"/>
    <w:rsid w:val="16F83CFA"/>
    <w:rsid w:val="16FC152E"/>
    <w:rsid w:val="17016ED8"/>
    <w:rsid w:val="17197CAB"/>
    <w:rsid w:val="173B62A8"/>
    <w:rsid w:val="175D7A45"/>
    <w:rsid w:val="176530AF"/>
    <w:rsid w:val="17B45DCE"/>
    <w:rsid w:val="17BD31A6"/>
    <w:rsid w:val="17CE6DD4"/>
    <w:rsid w:val="17E7776F"/>
    <w:rsid w:val="17EF18DE"/>
    <w:rsid w:val="17F028A6"/>
    <w:rsid w:val="17F31D53"/>
    <w:rsid w:val="18153373"/>
    <w:rsid w:val="186F400F"/>
    <w:rsid w:val="187A6623"/>
    <w:rsid w:val="1887096D"/>
    <w:rsid w:val="189C1593"/>
    <w:rsid w:val="18BA0D0B"/>
    <w:rsid w:val="18C00A60"/>
    <w:rsid w:val="18D74E64"/>
    <w:rsid w:val="18E22163"/>
    <w:rsid w:val="18E84F59"/>
    <w:rsid w:val="18F40139"/>
    <w:rsid w:val="192853FB"/>
    <w:rsid w:val="192D1ED6"/>
    <w:rsid w:val="1948749B"/>
    <w:rsid w:val="1957221D"/>
    <w:rsid w:val="196F14BB"/>
    <w:rsid w:val="19904411"/>
    <w:rsid w:val="1991102A"/>
    <w:rsid w:val="199C38C7"/>
    <w:rsid w:val="19A3434D"/>
    <w:rsid w:val="19B216E0"/>
    <w:rsid w:val="19C112CA"/>
    <w:rsid w:val="19D26C6D"/>
    <w:rsid w:val="19DA7BA8"/>
    <w:rsid w:val="1A5B0027"/>
    <w:rsid w:val="1A691BD3"/>
    <w:rsid w:val="1AA426DC"/>
    <w:rsid w:val="1AA85379"/>
    <w:rsid w:val="1ABA2799"/>
    <w:rsid w:val="1AE16104"/>
    <w:rsid w:val="1B104781"/>
    <w:rsid w:val="1B25364A"/>
    <w:rsid w:val="1B2557ED"/>
    <w:rsid w:val="1B2F266A"/>
    <w:rsid w:val="1B420D4A"/>
    <w:rsid w:val="1B9C471E"/>
    <w:rsid w:val="1BC17F90"/>
    <w:rsid w:val="1BC8798D"/>
    <w:rsid w:val="1BCD14CD"/>
    <w:rsid w:val="1BDC7797"/>
    <w:rsid w:val="1BDF74FC"/>
    <w:rsid w:val="1BEB2A1D"/>
    <w:rsid w:val="1BEE7D5A"/>
    <w:rsid w:val="1C10748A"/>
    <w:rsid w:val="1C180404"/>
    <w:rsid w:val="1C19367C"/>
    <w:rsid w:val="1C220EE5"/>
    <w:rsid w:val="1C335A11"/>
    <w:rsid w:val="1C3A6418"/>
    <w:rsid w:val="1C3C1B07"/>
    <w:rsid w:val="1C670BA6"/>
    <w:rsid w:val="1C8A6D4D"/>
    <w:rsid w:val="1CC8656F"/>
    <w:rsid w:val="1CD423D9"/>
    <w:rsid w:val="1CDB7A52"/>
    <w:rsid w:val="1D082444"/>
    <w:rsid w:val="1D1F1166"/>
    <w:rsid w:val="1D211E2D"/>
    <w:rsid w:val="1D3471D5"/>
    <w:rsid w:val="1D446095"/>
    <w:rsid w:val="1D503CF1"/>
    <w:rsid w:val="1D663D3F"/>
    <w:rsid w:val="1D777D57"/>
    <w:rsid w:val="1D837940"/>
    <w:rsid w:val="1D845058"/>
    <w:rsid w:val="1D974C38"/>
    <w:rsid w:val="1DB01D4A"/>
    <w:rsid w:val="1DB4045D"/>
    <w:rsid w:val="1DD61CA0"/>
    <w:rsid w:val="1DDF4451"/>
    <w:rsid w:val="1DED5A62"/>
    <w:rsid w:val="1DF27FB0"/>
    <w:rsid w:val="1DFE4E62"/>
    <w:rsid w:val="1E012619"/>
    <w:rsid w:val="1E084406"/>
    <w:rsid w:val="1E3D2D1C"/>
    <w:rsid w:val="1E5D2655"/>
    <w:rsid w:val="1E66203E"/>
    <w:rsid w:val="1E6E6FB9"/>
    <w:rsid w:val="1E7E1EBC"/>
    <w:rsid w:val="1E8B04C1"/>
    <w:rsid w:val="1E94380D"/>
    <w:rsid w:val="1EB402CD"/>
    <w:rsid w:val="1EB74C7A"/>
    <w:rsid w:val="1ED3453A"/>
    <w:rsid w:val="1EEA3073"/>
    <w:rsid w:val="1F21443D"/>
    <w:rsid w:val="1F284DB5"/>
    <w:rsid w:val="1F3A54E2"/>
    <w:rsid w:val="1F486752"/>
    <w:rsid w:val="1F4E6BA3"/>
    <w:rsid w:val="1F583ED7"/>
    <w:rsid w:val="1F9704D5"/>
    <w:rsid w:val="1FCF1364"/>
    <w:rsid w:val="1FEE28BA"/>
    <w:rsid w:val="1FFD2069"/>
    <w:rsid w:val="201C2B7B"/>
    <w:rsid w:val="205A44AB"/>
    <w:rsid w:val="206B519C"/>
    <w:rsid w:val="20A426DB"/>
    <w:rsid w:val="20AA2FC3"/>
    <w:rsid w:val="20BC0277"/>
    <w:rsid w:val="20C41BEC"/>
    <w:rsid w:val="20DC288D"/>
    <w:rsid w:val="20F9029D"/>
    <w:rsid w:val="21327236"/>
    <w:rsid w:val="21446707"/>
    <w:rsid w:val="21513A1E"/>
    <w:rsid w:val="215608BA"/>
    <w:rsid w:val="215D04AF"/>
    <w:rsid w:val="215E6D37"/>
    <w:rsid w:val="21615E06"/>
    <w:rsid w:val="219C419F"/>
    <w:rsid w:val="21A80589"/>
    <w:rsid w:val="21B1432B"/>
    <w:rsid w:val="21F257A8"/>
    <w:rsid w:val="21FC7CC7"/>
    <w:rsid w:val="220A23E4"/>
    <w:rsid w:val="221957BB"/>
    <w:rsid w:val="221A6761"/>
    <w:rsid w:val="222727CC"/>
    <w:rsid w:val="22431452"/>
    <w:rsid w:val="224B66BF"/>
    <w:rsid w:val="22584D88"/>
    <w:rsid w:val="225F1F9F"/>
    <w:rsid w:val="226B559C"/>
    <w:rsid w:val="226B58C3"/>
    <w:rsid w:val="22721D38"/>
    <w:rsid w:val="22A1091E"/>
    <w:rsid w:val="22F211D0"/>
    <w:rsid w:val="22F64717"/>
    <w:rsid w:val="2303796F"/>
    <w:rsid w:val="23106395"/>
    <w:rsid w:val="23143076"/>
    <w:rsid w:val="236E16F8"/>
    <w:rsid w:val="237711A9"/>
    <w:rsid w:val="23800662"/>
    <w:rsid w:val="23807B6F"/>
    <w:rsid w:val="238C7205"/>
    <w:rsid w:val="239A1546"/>
    <w:rsid w:val="23B05AFD"/>
    <w:rsid w:val="23BC295B"/>
    <w:rsid w:val="23E32BF8"/>
    <w:rsid w:val="23E43DBA"/>
    <w:rsid w:val="23EA6F09"/>
    <w:rsid w:val="24037CDE"/>
    <w:rsid w:val="241302CD"/>
    <w:rsid w:val="243948BB"/>
    <w:rsid w:val="243A6885"/>
    <w:rsid w:val="244E2558"/>
    <w:rsid w:val="244F2115"/>
    <w:rsid w:val="245F05DD"/>
    <w:rsid w:val="246E66D5"/>
    <w:rsid w:val="247D22B6"/>
    <w:rsid w:val="248A5117"/>
    <w:rsid w:val="24A46FFC"/>
    <w:rsid w:val="24BE1392"/>
    <w:rsid w:val="24C67032"/>
    <w:rsid w:val="24CE11BA"/>
    <w:rsid w:val="24D6506B"/>
    <w:rsid w:val="24E156D6"/>
    <w:rsid w:val="24FA55C9"/>
    <w:rsid w:val="25047597"/>
    <w:rsid w:val="251511DF"/>
    <w:rsid w:val="252923F7"/>
    <w:rsid w:val="254D1208"/>
    <w:rsid w:val="257F3212"/>
    <w:rsid w:val="25826736"/>
    <w:rsid w:val="259218AC"/>
    <w:rsid w:val="25AB02BE"/>
    <w:rsid w:val="25C406D4"/>
    <w:rsid w:val="25CD7D24"/>
    <w:rsid w:val="25D52BD2"/>
    <w:rsid w:val="25EA60A7"/>
    <w:rsid w:val="25F97178"/>
    <w:rsid w:val="26621A58"/>
    <w:rsid w:val="266D25CC"/>
    <w:rsid w:val="266E4FA7"/>
    <w:rsid w:val="267C6B98"/>
    <w:rsid w:val="26991B1E"/>
    <w:rsid w:val="26A5730D"/>
    <w:rsid w:val="26B62640"/>
    <w:rsid w:val="26C847D3"/>
    <w:rsid w:val="26E16459"/>
    <w:rsid w:val="26F24D2F"/>
    <w:rsid w:val="270A67E2"/>
    <w:rsid w:val="270E44F9"/>
    <w:rsid w:val="276343C3"/>
    <w:rsid w:val="27790AAF"/>
    <w:rsid w:val="277F21E8"/>
    <w:rsid w:val="278D5932"/>
    <w:rsid w:val="27B303DD"/>
    <w:rsid w:val="27CD6E39"/>
    <w:rsid w:val="27DE6524"/>
    <w:rsid w:val="27F91E49"/>
    <w:rsid w:val="27FE4092"/>
    <w:rsid w:val="28145AFD"/>
    <w:rsid w:val="28215D92"/>
    <w:rsid w:val="2867425B"/>
    <w:rsid w:val="288D11FA"/>
    <w:rsid w:val="28A018D5"/>
    <w:rsid w:val="28C10A26"/>
    <w:rsid w:val="28C4167D"/>
    <w:rsid w:val="28E80C8C"/>
    <w:rsid w:val="28F64E03"/>
    <w:rsid w:val="28F6721F"/>
    <w:rsid w:val="291C2745"/>
    <w:rsid w:val="291F7562"/>
    <w:rsid w:val="29653370"/>
    <w:rsid w:val="297245E1"/>
    <w:rsid w:val="297C5B77"/>
    <w:rsid w:val="299D60B9"/>
    <w:rsid w:val="29AA4D61"/>
    <w:rsid w:val="29AE3017"/>
    <w:rsid w:val="29AF1D4C"/>
    <w:rsid w:val="29C021DF"/>
    <w:rsid w:val="29FA47B7"/>
    <w:rsid w:val="2A255E5E"/>
    <w:rsid w:val="2A357B28"/>
    <w:rsid w:val="2A4E5CED"/>
    <w:rsid w:val="2A6672CC"/>
    <w:rsid w:val="2A701253"/>
    <w:rsid w:val="2A7D3827"/>
    <w:rsid w:val="2A9B4F10"/>
    <w:rsid w:val="2AB724A2"/>
    <w:rsid w:val="2ABA0AA5"/>
    <w:rsid w:val="2AD94ACA"/>
    <w:rsid w:val="2ADC52D4"/>
    <w:rsid w:val="2ADE5FF3"/>
    <w:rsid w:val="2B301D1A"/>
    <w:rsid w:val="2B3E2193"/>
    <w:rsid w:val="2B4A6CBA"/>
    <w:rsid w:val="2B527B71"/>
    <w:rsid w:val="2B7E6E0B"/>
    <w:rsid w:val="2B954F29"/>
    <w:rsid w:val="2BA33FD6"/>
    <w:rsid w:val="2BBE4B93"/>
    <w:rsid w:val="2BC50A4F"/>
    <w:rsid w:val="2BDC0FBF"/>
    <w:rsid w:val="2BE0737D"/>
    <w:rsid w:val="2C611A87"/>
    <w:rsid w:val="2C82701B"/>
    <w:rsid w:val="2C8F4EE2"/>
    <w:rsid w:val="2C9853BF"/>
    <w:rsid w:val="2CB724DB"/>
    <w:rsid w:val="2CBB2E97"/>
    <w:rsid w:val="2CBD1B48"/>
    <w:rsid w:val="2CED6D08"/>
    <w:rsid w:val="2D1E5872"/>
    <w:rsid w:val="2D221F9C"/>
    <w:rsid w:val="2D754023"/>
    <w:rsid w:val="2D7921CC"/>
    <w:rsid w:val="2D8A262B"/>
    <w:rsid w:val="2D9061C4"/>
    <w:rsid w:val="2D9C6DFA"/>
    <w:rsid w:val="2DBD1C01"/>
    <w:rsid w:val="2DF22776"/>
    <w:rsid w:val="2DF36562"/>
    <w:rsid w:val="2DFA69C7"/>
    <w:rsid w:val="2E1E0F66"/>
    <w:rsid w:val="2E2F3D9F"/>
    <w:rsid w:val="2E347E96"/>
    <w:rsid w:val="2E53520D"/>
    <w:rsid w:val="2E6C1D31"/>
    <w:rsid w:val="2E7068B9"/>
    <w:rsid w:val="2E721CE2"/>
    <w:rsid w:val="2E7837C5"/>
    <w:rsid w:val="2E95328B"/>
    <w:rsid w:val="2EA46C8E"/>
    <w:rsid w:val="2EA52F70"/>
    <w:rsid w:val="2EBB759D"/>
    <w:rsid w:val="2EC1562C"/>
    <w:rsid w:val="2F0D6D48"/>
    <w:rsid w:val="2F200DEA"/>
    <w:rsid w:val="2F237951"/>
    <w:rsid w:val="2F355191"/>
    <w:rsid w:val="2F4C2370"/>
    <w:rsid w:val="2F6C1C91"/>
    <w:rsid w:val="2F723377"/>
    <w:rsid w:val="2FA94AE9"/>
    <w:rsid w:val="2FE45FBE"/>
    <w:rsid w:val="2FF654B1"/>
    <w:rsid w:val="30052A0E"/>
    <w:rsid w:val="301D1535"/>
    <w:rsid w:val="30204562"/>
    <w:rsid w:val="3041606E"/>
    <w:rsid w:val="30674A61"/>
    <w:rsid w:val="306D7261"/>
    <w:rsid w:val="30802CA9"/>
    <w:rsid w:val="308030EF"/>
    <w:rsid w:val="308B3994"/>
    <w:rsid w:val="30B853BC"/>
    <w:rsid w:val="30C96FC7"/>
    <w:rsid w:val="30CC4912"/>
    <w:rsid w:val="30D174E0"/>
    <w:rsid w:val="30DF0C73"/>
    <w:rsid w:val="310D4DC1"/>
    <w:rsid w:val="3189395F"/>
    <w:rsid w:val="31921242"/>
    <w:rsid w:val="31A52014"/>
    <w:rsid w:val="31B5579D"/>
    <w:rsid w:val="31C970AE"/>
    <w:rsid w:val="31D45A43"/>
    <w:rsid w:val="31DE71EC"/>
    <w:rsid w:val="31E105EB"/>
    <w:rsid w:val="31E34C93"/>
    <w:rsid w:val="322A1CE7"/>
    <w:rsid w:val="32523B47"/>
    <w:rsid w:val="326A3FCC"/>
    <w:rsid w:val="3280783B"/>
    <w:rsid w:val="328F7EA1"/>
    <w:rsid w:val="32E2377C"/>
    <w:rsid w:val="32E434B3"/>
    <w:rsid w:val="32E707F0"/>
    <w:rsid w:val="32E83B52"/>
    <w:rsid w:val="32EE32B0"/>
    <w:rsid w:val="32F4718B"/>
    <w:rsid w:val="32FD2FB7"/>
    <w:rsid w:val="33037138"/>
    <w:rsid w:val="332E4D02"/>
    <w:rsid w:val="335D74F5"/>
    <w:rsid w:val="33610DBE"/>
    <w:rsid w:val="336A4D38"/>
    <w:rsid w:val="336B6A5B"/>
    <w:rsid w:val="33791178"/>
    <w:rsid w:val="33840B84"/>
    <w:rsid w:val="339E389D"/>
    <w:rsid w:val="33D96522"/>
    <w:rsid w:val="341E0B9C"/>
    <w:rsid w:val="343D2D00"/>
    <w:rsid w:val="34632462"/>
    <w:rsid w:val="34750F59"/>
    <w:rsid w:val="347B017E"/>
    <w:rsid w:val="34A645E3"/>
    <w:rsid w:val="34A845B2"/>
    <w:rsid w:val="34B16DAC"/>
    <w:rsid w:val="34C05BB6"/>
    <w:rsid w:val="34C45B53"/>
    <w:rsid w:val="34CA334B"/>
    <w:rsid w:val="34E24AFB"/>
    <w:rsid w:val="34ED0775"/>
    <w:rsid w:val="34EE5395"/>
    <w:rsid w:val="34FC5CF2"/>
    <w:rsid w:val="35250796"/>
    <w:rsid w:val="354A3DE6"/>
    <w:rsid w:val="35574DFC"/>
    <w:rsid w:val="35713815"/>
    <w:rsid w:val="35727DA0"/>
    <w:rsid w:val="35733491"/>
    <w:rsid w:val="357C3C70"/>
    <w:rsid w:val="357D05CC"/>
    <w:rsid w:val="357F40BA"/>
    <w:rsid w:val="35801055"/>
    <w:rsid w:val="359C2A96"/>
    <w:rsid w:val="35C45033"/>
    <w:rsid w:val="35CC406E"/>
    <w:rsid w:val="35D57CCA"/>
    <w:rsid w:val="35D703D8"/>
    <w:rsid w:val="35DE4A5D"/>
    <w:rsid w:val="35F218FE"/>
    <w:rsid w:val="360B3582"/>
    <w:rsid w:val="36143668"/>
    <w:rsid w:val="364F38AE"/>
    <w:rsid w:val="3658788C"/>
    <w:rsid w:val="365B6072"/>
    <w:rsid w:val="367A5128"/>
    <w:rsid w:val="367D7258"/>
    <w:rsid w:val="36A04E02"/>
    <w:rsid w:val="36B0226A"/>
    <w:rsid w:val="36FF2818"/>
    <w:rsid w:val="370C789C"/>
    <w:rsid w:val="371815A0"/>
    <w:rsid w:val="372C7BF0"/>
    <w:rsid w:val="37377380"/>
    <w:rsid w:val="3744633E"/>
    <w:rsid w:val="37904834"/>
    <w:rsid w:val="37B367B8"/>
    <w:rsid w:val="37BB738A"/>
    <w:rsid w:val="37DC1CD5"/>
    <w:rsid w:val="37F214F9"/>
    <w:rsid w:val="38164BCF"/>
    <w:rsid w:val="384E3668"/>
    <w:rsid w:val="38670CF0"/>
    <w:rsid w:val="38724ABF"/>
    <w:rsid w:val="38DC53D7"/>
    <w:rsid w:val="390D17D4"/>
    <w:rsid w:val="391E50E2"/>
    <w:rsid w:val="39456792"/>
    <w:rsid w:val="39504FEB"/>
    <w:rsid w:val="39571E62"/>
    <w:rsid w:val="395C2F87"/>
    <w:rsid w:val="395F496C"/>
    <w:rsid w:val="396C733D"/>
    <w:rsid w:val="39A22AAB"/>
    <w:rsid w:val="39E6282D"/>
    <w:rsid w:val="39FB2745"/>
    <w:rsid w:val="3A013439"/>
    <w:rsid w:val="3A056FCC"/>
    <w:rsid w:val="3A2E30DC"/>
    <w:rsid w:val="3A46345F"/>
    <w:rsid w:val="3A48333D"/>
    <w:rsid w:val="3A633AAD"/>
    <w:rsid w:val="3A6B7560"/>
    <w:rsid w:val="3A91285A"/>
    <w:rsid w:val="3A9E19F0"/>
    <w:rsid w:val="3AA23849"/>
    <w:rsid w:val="3AB91DFF"/>
    <w:rsid w:val="3AC5403A"/>
    <w:rsid w:val="3ADE5134"/>
    <w:rsid w:val="3B092270"/>
    <w:rsid w:val="3B11520A"/>
    <w:rsid w:val="3B1659C9"/>
    <w:rsid w:val="3B170F8B"/>
    <w:rsid w:val="3B1E01F1"/>
    <w:rsid w:val="3B3A70B3"/>
    <w:rsid w:val="3B5739DE"/>
    <w:rsid w:val="3B5F3E2E"/>
    <w:rsid w:val="3B856845"/>
    <w:rsid w:val="3B893CDF"/>
    <w:rsid w:val="3B8A240C"/>
    <w:rsid w:val="3BAC032E"/>
    <w:rsid w:val="3BC82016"/>
    <w:rsid w:val="3BDB554C"/>
    <w:rsid w:val="3BDD4120"/>
    <w:rsid w:val="3BE00B95"/>
    <w:rsid w:val="3BE409C9"/>
    <w:rsid w:val="3BEA37B7"/>
    <w:rsid w:val="3BEB36FA"/>
    <w:rsid w:val="3C084696"/>
    <w:rsid w:val="3C0F3532"/>
    <w:rsid w:val="3C361FB4"/>
    <w:rsid w:val="3C445CF9"/>
    <w:rsid w:val="3C4D5AE2"/>
    <w:rsid w:val="3C546447"/>
    <w:rsid w:val="3C574811"/>
    <w:rsid w:val="3C5B54BA"/>
    <w:rsid w:val="3C620F45"/>
    <w:rsid w:val="3C6C53B1"/>
    <w:rsid w:val="3C7C5002"/>
    <w:rsid w:val="3C7C6AB9"/>
    <w:rsid w:val="3C89489A"/>
    <w:rsid w:val="3C910222"/>
    <w:rsid w:val="3CC935EE"/>
    <w:rsid w:val="3CCC4D6B"/>
    <w:rsid w:val="3CF91B43"/>
    <w:rsid w:val="3D32108B"/>
    <w:rsid w:val="3D337CFF"/>
    <w:rsid w:val="3D5228D4"/>
    <w:rsid w:val="3D8F3DE2"/>
    <w:rsid w:val="3D943DD4"/>
    <w:rsid w:val="3D95782C"/>
    <w:rsid w:val="3DAC4CDE"/>
    <w:rsid w:val="3DB94159"/>
    <w:rsid w:val="3DBF34B6"/>
    <w:rsid w:val="3DE75E6A"/>
    <w:rsid w:val="3E112E09"/>
    <w:rsid w:val="3E2C167C"/>
    <w:rsid w:val="3E5929B1"/>
    <w:rsid w:val="3E5A1BA6"/>
    <w:rsid w:val="3E6573F3"/>
    <w:rsid w:val="3E761ACE"/>
    <w:rsid w:val="3E762C45"/>
    <w:rsid w:val="3E784643"/>
    <w:rsid w:val="3E842069"/>
    <w:rsid w:val="3EA00FEF"/>
    <w:rsid w:val="3EDA55DD"/>
    <w:rsid w:val="3EE1333D"/>
    <w:rsid w:val="3F0B06FD"/>
    <w:rsid w:val="3F187EB2"/>
    <w:rsid w:val="3F2744ED"/>
    <w:rsid w:val="3F29652B"/>
    <w:rsid w:val="3F4703E8"/>
    <w:rsid w:val="3F536DF3"/>
    <w:rsid w:val="3F602D42"/>
    <w:rsid w:val="3F7153F9"/>
    <w:rsid w:val="3FDA6AF3"/>
    <w:rsid w:val="3FEF3C18"/>
    <w:rsid w:val="3FF604CB"/>
    <w:rsid w:val="3FF87944"/>
    <w:rsid w:val="4007726B"/>
    <w:rsid w:val="40136C2A"/>
    <w:rsid w:val="40202F42"/>
    <w:rsid w:val="40370CD0"/>
    <w:rsid w:val="40527B60"/>
    <w:rsid w:val="40687F6E"/>
    <w:rsid w:val="4072582A"/>
    <w:rsid w:val="40875AB4"/>
    <w:rsid w:val="40913960"/>
    <w:rsid w:val="40AF6B36"/>
    <w:rsid w:val="40B728E8"/>
    <w:rsid w:val="40C552F4"/>
    <w:rsid w:val="40D03FF5"/>
    <w:rsid w:val="40DF0BBE"/>
    <w:rsid w:val="41546D80"/>
    <w:rsid w:val="415949AA"/>
    <w:rsid w:val="415967A0"/>
    <w:rsid w:val="41761332"/>
    <w:rsid w:val="419B050B"/>
    <w:rsid w:val="419E043B"/>
    <w:rsid w:val="41A76937"/>
    <w:rsid w:val="41BD06D3"/>
    <w:rsid w:val="41CD7F90"/>
    <w:rsid w:val="41D063DF"/>
    <w:rsid w:val="41E56E62"/>
    <w:rsid w:val="41F11528"/>
    <w:rsid w:val="421B78D2"/>
    <w:rsid w:val="42363FAF"/>
    <w:rsid w:val="42535E6F"/>
    <w:rsid w:val="42730896"/>
    <w:rsid w:val="42A34301"/>
    <w:rsid w:val="42CB664C"/>
    <w:rsid w:val="42D26BF3"/>
    <w:rsid w:val="42E227F6"/>
    <w:rsid w:val="4304574A"/>
    <w:rsid w:val="43160791"/>
    <w:rsid w:val="43230155"/>
    <w:rsid w:val="43255775"/>
    <w:rsid w:val="434356F9"/>
    <w:rsid w:val="4359124A"/>
    <w:rsid w:val="438C3927"/>
    <w:rsid w:val="43AE34D0"/>
    <w:rsid w:val="44236086"/>
    <w:rsid w:val="44242FBF"/>
    <w:rsid w:val="44265545"/>
    <w:rsid w:val="443D1D4E"/>
    <w:rsid w:val="443D6D1B"/>
    <w:rsid w:val="44411B52"/>
    <w:rsid w:val="4450633B"/>
    <w:rsid w:val="448B6E69"/>
    <w:rsid w:val="448C112F"/>
    <w:rsid w:val="44A80D5F"/>
    <w:rsid w:val="44D03377"/>
    <w:rsid w:val="44DD45CA"/>
    <w:rsid w:val="44ED06DC"/>
    <w:rsid w:val="45077B57"/>
    <w:rsid w:val="450D34CE"/>
    <w:rsid w:val="452733C5"/>
    <w:rsid w:val="453C0CDF"/>
    <w:rsid w:val="454212E5"/>
    <w:rsid w:val="45570DD2"/>
    <w:rsid w:val="456A35B5"/>
    <w:rsid w:val="4574179F"/>
    <w:rsid w:val="45AF3AE3"/>
    <w:rsid w:val="45B053BF"/>
    <w:rsid w:val="45BF7837"/>
    <w:rsid w:val="45CA502A"/>
    <w:rsid w:val="45D766CE"/>
    <w:rsid w:val="45DB1DD9"/>
    <w:rsid w:val="45E0795E"/>
    <w:rsid w:val="45F2564C"/>
    <w:rsid w:val="45FE71A3"/>
    <w:rsid w:val="46053D6C"/>
    <w:rsid w:val="460E34FF"/>
    <w:rsid w:val="46112286"/>
    <w:rsid w:val="46334354"/>
    <w:rsid w:val="4637328D"/>
    <w:rsid w:val="463F6A1A"/>
    <w:rsid w:val="46921C7A"/>
    <w:rsid w:val="46C04935"/>
    <w:rsid w:val="46FD458B"/>
    <w:rsid w:val="470C03C3"/>
    <w:rsid w:val="470C712A"/>
    <w:rsid w:val="47182849"/>
    <w:rsid w:val="475570EF"/>
    <w:rsid w:val="47717B38"/>
    <w:rsid w:val="477478BD"/>
    <w:rsid w:val="478065CE"/>
    <w:rsid w:val="47887B72"/>
    <w:rsid w:val="478B22D9"/>
    <w:rsid w:val="47AC3C3E"/>
    <w:rsid w:val="47AC64AF"/>
    <w:rsid w:val="47CC4B17"/>
    <w:rsid w:val="47CD0CDF"/>
    <w:rsid w:val="47D66741"/>
    <w:rsid w:val="47D672C5"/>
    <w:rsid w:val="47FF5381"/>
    <w:rsid w:val="48172A77"/>
    <w:rsid w:val="48280C73"/>
    <w:rsid w:val="482E33E9"/>
    <w:rsid w:val="48373D54"/>
    <w:rsid w:val="4841553B"/>
    <w:rsid w:val="485C187E"/>
    <w:rsid w:val="485C3105"/>
    <w:rsid w:val="48625EFD"/>
    <w:rsid w:val="48800E3E"/>
    <w:rsid w:val="489C177A"/>
    <w:rsid w:val="48B706D5"/>
    <w:rsid w:val="48D07DD7"/>
    <w:rsid w:val="48D45E7A"/>
    <w:rsid w:val="48DB66C1"/>
    <w:rsid w:val="48E46558"/>
    <w:rsid w:val="48EF4093"/>
    <w:rsid w:val="49005572"/>
    <w:rsid w:val="492638E5"/>
    <w:rsid w:val="49280438"/>
    <w:rsid w:val="49966A6D"/>
    <w:rsid w:val="49A77192"/>
    <w:rsid w:val="49AB61DF"/>
    <w:rsid w:val="49B117DF"/>
    <w:rsid w:val="49DA6F1D"/>
    <w:rsid w:val="49E3294E"/>
    <w:rsid w:val="49E97557"/>
    <w:rsid w:val="49F874C7"/>
    <w:rsid w:val="4A080708"/>
    <w:rsid w:val="4A0F5304"/>
    <w:rsid w:val="4A2157FE"/>
    <w:rsid w:val="4A3A6944"/>
    <w:rsid w:val="4A4824A0"/>
    <w:rsid w:val="4A501A83"/>
    <w:rsid w:val="4A9C3D23"/>
    <w:rsid w:val="4AC070E0"/>
    <w:rsid w:val="4AE42F23"/>
    <w:rsid w:val="4AE64EED"/>
    <w:rsid w:val="4AE72A13"/>
    <w:rsid w:val="4AF22833"/>
    <w:rsid w:val="4B034374"/>
    <w:rsid w:val="4B0A4A82"/>
    <w:rsid w:val="4B13565E"/>
    <w:rsid w:val="4B3B52C3"/>
    <w:rsid w:val="4B573487"/>
    <w:rsid w:val="4B8758F9"/>
    <w:rsid w:val="4B972D10"/>
    <w:rsid w:val="4B9C1C09"/>
    <w:rsid w:val="4BBD544B"/>
    <w:rsid w:val="4BCD7ADE"/>
    <w:rsid w:val="4BE4043B"/>
    <w:rsid w:val="4BFA6A7D"/>
    <w:rsid w:val="4C024C30"/>
    <w:rsid w:val="4C2546E0"/>
    <w:rsid w:val="4C25516F"/>
    <w:rsid w:val="4C342F7B"/>
    <w:rsid w:val="4C3B2EDA"/>
    <w:rsid w:val="4C6D6081"/>
    <w:rsid w:val="4C7A3B91"/>
    <w:rsid w:val="4C7F6070"/>
    <w:rsid w:val="4C8449BE"/>
    <w:rsid w:val="4C8E2F28"/>
    <w:rsid w:val="4CC25593"/>
    <w:rsid w:val="4CD81F73"/>
    <w:rsid w:val="4CED4E3E"/>
    <w:rsid w:val="4CFC7D24"/>
    <w:rsid w:val="4D14052F"/>
    <w:rsid w:val="4D1B6B7B"/>
    <w:rsid w:val="4D63477C"/>
    <w:rsid w:val="4D7D00CF"/>
    <w:rsid w:val="4D944649"/>
    <w:rsid w:val="4D95370E"/>
    <w:rsid w:val="4DB91A91"/>
    <w:rsid w:val="4DF9667C"/>
    <w:rsid w:val="4E4121CB"/>
    <w:rsid w:val="4E4A12EF"/>
    <w:rsid w:val="4E5021EB"/>
    <w:rsid w:val="4E547D03"/>
    <w:rsid w:val="4E597D6B"/>
    <w:rsid w:val="4E830AE4"/>
    <w:rsid w:val="4E8646AF"/>
    <w:rsid w:val="4E8A1AE4"/>
    <w:rsid w:val="4E903B48"/>
    <w:rsid w:val="4E9206E8"/>
    <w:rsid w:val="4EB37287"/>
    <w:rsid w:val="4ED04098"/>
    <w:rsid w:val="4ED153E7"/>
    <w:rsid w:val="4ED449DE"/>
    <w:rsid w:val="4EE45BBF"/>
    <w:rsid w:val="4EF25F4B"/>
    <w:rsid w:val="4EF32D9F"/>
    <w:rsid w:val="4EF71502"/>
    <w:rsid w:val="4F025E49"/>
    <w:rsid w:val="4F233DD9"/>
    <w:rsid w:val="4F3B654A"/>
    <w:rsid w:val="4F3F1E5D"/>
    <w:rsid w:val="4F434698"/>
    <w:rsid w:val="4F8E5E17"/>
    <w:rsid w:val="4F965B6C"/>
    <w:rsid w:val="4FA40BE2"/>
    <w:rsid w:val="4FB959CC"/>
    <w:rsid w:val="4FCB6460"/>
    <w:rsid w:val="4FD55530"/>
    <w:rsid w:val="4FEB06BA"/>
    <w:rsid w:val="4FF60182"/>
    <w:rsid w:val="4FF6375B"/>
    <w:rsid w:val="502930B1"/>
    <w:rsid w:val="50425E66"/>
    <w:rsid w:val="504D0CA5"/>
    <w:rsid w:val="50525A21"/>
    <w:rsid w:val="50590147"/>
    <w:rsid w:val="505D2290"/>
    <w:rsid w:val="505E0C68"/>
    <w:rsid w:val="506B379F"/>
    <w:rsid w:val="508D63AE"/>
    <w:rsid w:val="50CC1FB3"/>
    <w:rsid w:val="50D878FD"/>
    <w:rsid w:val="50DC644B"/>
    <w:rsid w:val="50E02613"/>
    <w:rsid w:val="50EB7D5F"/>
    <w:rsid w:val="50F72364"/>
    <w:rsid w:val="50FE0D8E"/>
    <w:rsid w:val="511B51A5"/>
    <w:rsid w:val="511F47BB"/>
    <w:rsid w:val="51345DF5"/>
    <w:rsid w:val="513F261A"/>
    <w:rsid w:val="513F7105"/>
    <w:rsid w:val="51580D64"/>
    <w:rsid w:val="516D3D99"/>
    <w:rsid w:val="519A00E2"/>
    <w:rsid w:val="51BF0701"/>
    <w:rsid w:val="51BF6283"/>
    <w:rsid w:val="51D24C77"/>
    <w:rsid w:val="51DC1CFF"/>
    <w:rsid w:val="51E5495E"/>
    <w:rsid w:val="5215035A"/>
    <w:rsid w:val="52441A33"/>
    <w:rsid w:val="524900BC"/>
    <w:rsid w:val="525B6694"/>
    <w:rsid w:val="526604A4"/>
    <w:rsid w:val="52B100EE"/>
    <w:rsid w:val="52C053A1"/>
    <w:rsid w:val="52EE36BA"/>
    <w:rsid w:val="52F1511E"/>
    <w:rsid w:val="52F937F9"/>
    <w:rsid w:val="530E3233"/>
    <w:rsid w:val="53152489"/>
    <w:rsid w:val="531A48FD"/>
    <w:rsid w:val="53253BFD"/>
    <w:rsid w:val="533E7BB4"/>
    <w:rsid w:val="5342116E"/>
    <w:rsid w:val="53775DE2"/>
    <w:rsid w:val="537E3E9B"/>
    <w:rsid w:val="538C05FC"/>
    <w:rsid w:val="53A13E74"/>
    <w:rsid w:val="53AC55AD"/>
    <w:rsid w:val="53AE2337"/>
    <w:rsid w:val="53B813FB"/>
    <w:rsid w:val="53BA386E"/>
    <w:rsid w:val="53CA6D53"/>
    <w:rsid w:val="53CD4EAB"/>
    <w:rsid w:val="53EF39DA"/>
    <w:rsid w:val="53F06F7A"/>
    <w:rsid w:val="542C03D0"/>
    <w:rsid w:val="54524FB0"/>
    <w:rsid w:val="546445EF"/>
    <w:rsid w:val="54654138"/>
    <w:rsid w:val="54665F7C"/>
    <w:rsid w:val="548A316F"/>
    <w:rsid w:val="548F08DD"/>
    <w:rsid w:val="54B20663"/>
    <w:rsid w:val="54B4010B"/>
    <w:rsid w:val="54B55E36"/>
    <w:rsid w:val="54BA09C5"/>
    <w:rsid w:val="54C00D80"/>
    <w:rsid w:val="54CD0555"/>
    <w:rsid w:val="54DC74A2"/>
    <w:rsid w:val="54E35D82"/>
    <w:rsid w:val="54F02758"/>
    <w:rsid w:val="54F0739A"/>
    <w:rsid w:val="54F12F2C"/>
    <w:rsid w:val="551266C5"/>
    <w:rsid w:val="55247274"/>
    <w:rsid w:val="552E4E47"/>
    <w:rsid w:val="553134C5"/>
    <w:rsid w:val="55326F81"/>
    <w:rsid w:val="554C0D3F"/>
    <w:rsid w:val="558B123F"/>
    <w:rsid w:val="55A91AF7"/>
    <w:rsid w:val="55C86CF9"/>
    <w:rsid w:val="55D22F1E"/>
    <w:rsid w:val="55D90D01"/>
    <w:rsid w:val="55DB7A83"/>
    <w:rsid w:val="55F65A3F"/>
    <w:rsid w:val="56094D32"/>
    <w:rsid w:val="561C215D"/>
    <w:rsid w:val="562C577E"/>
    <w:rsid w:val="562D55F0"/>
    <w:rsid w:val="562F2A1E"/>
    <w:rsid w:val="563F10A5"/>
    <w:rsid w:val="564630DA"/>
    <w:rsid w:val="565F37EC"/>
    <w:rsid w:val="565F7902"/>
    <w:rsid w:val="568F02EB"/>
    <w:rsid w:val="569463D1"/>
    <w:rsid w:val="56B41453"/>
    <w:rsid w:val="57063AC6"/>
    <w:rsid w:val="57091433"/>
    <w:rsid w:val="570D46CB"/>
    <w:rsid w:val="572333CB"/>
    <w:rsid w:val="572C3BF2"/>
    <w:rsid w:val="573D0987"/>
    <w:rsid w:val="575853A4"/>
    <w:rsid w:val="576B4A7B"/>
    <w:rsid w:val="576B602B"/>
    <w:rsid w:val="576B7DF0"/>
    <w:rsid w:val="576E3136"/>
    <w:rsid w:val="577A6F26"/>
    <w:rsid w:val="57830D25"/>
    <w:rsid w:val="5787202E"/>
    <w:rsid w:val="57CD530A"/>
    <w:rsid w:val="57E15AEA"/>
    <w:rsid w:val="57E82135"/>
    <w:rsid w:val="57E95AA3"/>
    <w:rsid w:val="57EE288A"/>
    <w:rsid w:val="580D34B7"/>
    <w:rsid w:val="581353D8"/>
    <w:rsid w:val="58260600"/>
    <w:rsid w:val="582638D2"/>
    <w:rsid w:val="585741A8"/>
    <w:rsid w:val="58780D98"/>
    <w:rsid w:val="58853533"/>
    <w:rsid w:val="589539B6"/>
    <w:rsid w:val="589D485C"/>
    <w:rsid w:val="589E20CC"/>
    <w:rsid w:val="58BA3D40"/>
    <w:rsid w:val="58D565A1"/>
    <w:rsid w:val="58D63389"/>
    <w:rsid w:val="58E67570"/>
    <w:rsid w:val="58FB4F16"/>
    <w:rsid w:val="59017396"/>
    <w:rsid w:val="59020665"/>
    <w:rsid w:val="590254FF"/>
    <w:rsid w:val="5903259A"/>
    <w:rsid w:val="5906263B"/>
    <w:rsid w:val="590B0CC6"/>
    <w:rsid w:val="59247993"/>
    <w:rsid w:val="592C196F"/>
    <w:rsid w:val="59455105"/>
    <w:rsid w:val="595802E5"/>
    <w:rsid w:val="59672A07"/>
    <w:rsid w:val="598D419A"/>
    <w:rsid w:val="59C3707C"/>
    <w:rsid w:val="59FF38D6"/>
    <w:rsid w:val="5A3265C5"/>
    <w:rsid w:val="5A70251E"/>
    <w:rsid w:val="5A8D7011"/>
    <w:rsid w:val="5AA46C44"/>
    <w:rsid w:val="5AAF6713"/>
    <w:rsid w:val="5AB4110C"/>
    <w:rsid w:val="5AB50184"/>
    <w:rsid w:val="5ABD31F7"/>
    <w:rsid w:val="5ACD5273"/>
    <w:rsid w:val="5AD32144"/>
    <w:rsid w:val="5AEF5E09"/>
    <w:rsid w:val="5B3146A5"/>
    <w:rsid w:val="5B417443"/>
    <w:rsid w:val="5B493CA7"/>
    <w:rsid w:val="5B4D0671"/>
    <w:rsid w:val="5B522515"/>
    <w:rsid w:val="5B682508"/>
    <w:rsid w:val="5B6B62DE"/>
    <w:rsid w:val="5B810375"/>
    <w:rsid w:val="5B854367"/>
    <w:rsid w:val="5B8C1B25"/>
    <w:rsid w:val="5B9F283D"/>
    <w:rsid w:val="5BA94674"/>
    <w:rsid w:val="5BC97C5D"/>
    <w:rsid w:val="5BDA3036"/>
    <w:rsid w:val="5C3B228C"/>
    <w:rsid w:val="5C6820A9"/>
    <w:rsid w:val="5C785377"/>
    <w:rsid w:val="5C7A1569"/>
    <w:rsid w:val="5C910A31"/>
    <w:rsid w:val="5CBE0005"/>
    <w:rsid w:val="5D150EC0"/>
    <w:rsid w:val="5D2304C1"/>
    <w:rsid w:val="5D285E42"/>
    <w:rsid w:val="5D452FC0"/>
    <w:rsid w:val="5D99473C"/>
    <w:rsid w:val="5DA43E88"/>
    <w:rsid w:val="5DA85CBF"/>
    <w:rsid w:val="5DB3581E"/>
    <w:rsid w:val="5DC50B01"/>
    <w:rsid w:val="5DC5671C"/>
    <w:rsid w:val="5DDC5CDC"/>
    <w:rsid w:val="5DF72B09"/>
    <w:rsid w:val="5E1825EA"/>
    <w:rsid w:val="5E341674"/>
    <w:rsid w:val="5E460CDB"/>
    <w:rsid w:val="5E5162E3"/>
    <w:rsid w:val="5E650700"/>
    <w:rsid w:val="5E8E04C4"/>
    <w:rsid w:val="5E925D2E"/>
    <w:rsid w:val="5E984FB3"/>
    <w:rsid w:val="5E993BCD"/>
    <w:rsid w:val="5E9C50CF"/>
    <w:rsid w:val="5EAC0A97"/>
    <w:rsid w:val="5ECE7D1A"/>
    <w:rsid w:val="5EEE5CC7"/>
    <w:rsid w:val="5EF1163D"/>
    <w:rsid w:val="5F1E5004"/>
    <w:rsid w:val="5F3437E9"/>
    <w:rsid w:val="5F487759"/>
    <w:rsid w:val="5F5129E3"/>
    <w:rsid w:val="5F6140CD"/>
    <w:rsid w:val="5F6E3252"/>
    <w:rsid w:val="5F761A53"/>
    <w:rsid w:val="5F882526"/>
    <w:rsid w:val="5FAE6D03"/>
    <w:rsid w:val="5FB150F3"/>
    <w:rsid w:val="5FD1465B"/>
    <w:rsid w:val="5FD66E84"/>
    <w:rsid w:val="5FE12773"/>
    <w:rsid w:val="5FEB3AFA"/>
    <w:rsid w:val="5FEC0A13"/>
    <w:rsid w:val="5FFC2AFF"/>
    <w:rsid w:val="60025580"/>
    <w:rsid w:val="60074BE6"/>
    <w:rsid w:val="601D751C"/>
    <w:rsid w:val="60244342"/>
    <w:rsid w:val="60341857"/>
    <w:rsid w:val="60483F7F"/>
    <w:rsid w:val="60566E86"/>
    <w:rsid w:val="609E3255"/>
    <w:rsid w:val="60A6532A"/>
    <w:rsid w:val="60B3454A"/>
    <w:rsid w:val="60EA66DE"/>
    <w:rsid w:val="610919F7"/>
    <w:rsid w:val="610E7C27"/>
    <w:rsid w:val="613E7D90"/>
    <w:rsid w:val="61451357"/>
    <w:rsid w:val="61596B44"/>
    <w:rsid w:val="616F5A57"/>
    <w:rsid w:val="61856561"/>
    <w:rsid w:val="61A22ED6"/>
    <w:rsid w:val="61BA27D8"/>
    <w:rsid w:val="61C93969"/>
    <w:rsid w:val="61FF1C9E"/>
    <w:rsid w:val="62012F9F"/>
    <w:rsid w:val="62283808"/>
    <w:rsid w:val="62A60FB0"/>
    <w:rsid w:val="62A933C2"/>
    <w:rsid w:val="62B96E5A"/>
    <w:rsid w:val="62D368AD"/>
    <w:rsid w:val="62E04DD3"/>
    <w:rsid w:val="62E60A76"/>
    <w:rsid w:val="62F657DF"/>
    <w:rsid w:val="630C20D1"/>
    <w:rsid w:val="63134F48"/>
    <w:rsid w:val="63216B7E"/>
    <w:rsid w:val="63235A27"/>
    <w:rsid w:val="634155D1"/>
    <w:rsid w:val="63623D81"/>
    <w:rsid w:val="636739CD"/>
    <w:rsid w:val="63732C3E"/>
    <w:rsid w:val="63853111"/>
    <w:rsid w:val="639257BA"/>
    <w:rsid w:val="6392698E"/>
    <w:rsid w:val="63BD6E33"/>
    <w:rsid w:val="63CB3F1D"/>
    <w:rsid w:val="640B14C1"/>
    <w:rsid w:val="640C5F5B"/>
    <w:rsid w:val="640F0BE4"/>
    <w:rsid w:val="64185319"/>
    <w:rsid w:val="642F65FA"/>
    <w:rsid w:val="64341A2C"/>
    <w:rsid w:val="64441229"/>
    <w:rsid w:val="645401C3"/>
    <w:rsid w:val="64595280"/>
    <w:rsid w:val="648270B8"/>
    <w:rsid w:val="648307BA"/>
    <w:rsid w:val="649A514A"/>
    <w:rsid w:val="649F6788"/>
    <w:rsid w:val="64AF3EA5"/>
    <w:rsid w:val="64B259E8"/>
    <w:rsid w:val="64BB489D"/>
    <w:rsid w:val="64C12EF6"/>
    <w:rsid w:val="64C138A7"/>
    <w:rsid w:val="64CA7244"/>
    <w:rsid w:val="64CF2721"/>
    <w:rsid w:val="64D534A9"/>
    <w:rsid w:val="64F007F4"/>
    <w:rsid w:val="64F261A4"/>
    <w:rsid w:val="64FC6FF7"/>
    <w:rsid w:val="650B5D55"/>
    <w:rsid w:val="650C6633"/>
    <w:rsid w:val="65473546"/>
    <w:rsid w:val="656D4FB5"/>
    <w:rsid w:val="656D6E00"/>
    <w:rsid w:val="657C5427"/>
    <w:rsid w:val="65863129"/>
    <w:rsid w:val="65BC1EE7"/>
    <w:rsid w:val="65C60AAE"/>
    <w:rsid w:val="65D13C89"/>
    <w:rsid w:val="65DD6A95"/>
    <w:rsid w:val="65ED7A5E"/>
    <w:rsid w:val="661757AD"/>
    <w:rsid w:val="66540667"/>
    <w:rsid w:val="66552ACF"/>
    <w:rsid w:val="665E21E0"/>
    <w:rsid w:val="668546DF"/>
    <w:rsid w:val="66990DB6"/>
    <w:rsid w:val="669E2A3B"/>
    <w:rsid w:val="66AB11E1"/>
    <w:rsid w:val="66B51540"/>
    <w:rsid w:val="66D659BE"/>
    <w:rsid w:val="66F75934"/>
    <w:rsid w:val="67000CFE"/>
    <w:rsid w:val="670569C2"/>
    <w:rsid w:val="6707152C"/>
    <w:rsid w:val="670E6067"/>
    <w:rsid w:val="672411C5"/>
    <w:rsid w:val="672A7F02"/>
    <w:rsid w:val="67397D9B"/>
    <w:rsid w:val="67485F77"/>
    <w:rsid w:val="674E38EF"/>
    <w:rsid w:val="675764CB"/>
    <w:rsid w:val="675F3C06"/>
    <w:rsid w:val="677B05CD"/>
    <w:rsid w:val="67837DE3"/>
    <w:rsid w:val="6790695D"/>
    <w:rsid w:val="67AA1026"/>
    <w:rsid w:val="67D0240D"/>
    <w:rsid w:val="67D07ABB"/>
    <w:rsid w:val="67DD12A3"/>
    <w:rsid w:val="67F44F40"/>
    <w:rsid w:val="67F66554"/>
    <w:rsid w:val="68042812"/>
    <w:rsid w:val="680904C3"/>
    <w:rsid w:val="680D0401"/>
    <w:rsid w:val="680E2284"/>
    <w:rsid w:val="68120879"/>
    <w:rsid w:val="68182006"/>
    <w:rsid w:val="681A0289"/>
    <w:rsid w:val="68246380"/>
    <w:rsid w:val="68282249"/>
    <w:rsid w:val="68862C85"/>
    <w:rsid w:val="688E2AB4"/>
    <w:rsid w:val="68A775BD"/>
    <w:rsid w:val="68AC6618"/>
    <w:rsid w:val="68C730A5"/>
    <w:rsid w:val="68D10BFD"/>
    <w:rsid w:val="68DB3A6B"/>
    <w:rsid w:val="68F417BA"/>
    <w:rsid w:val="68FE51D9"/>
    <w:rsid w:val="69125DA7"/>
    <w:rsid w:val="691856FA"/>
    <w:rsid w:val="693B366B"/>
    <w:rsid w:val="695A7FBA"/>
    <w:rsid w:val="696C260A"/>
    <w:rsid w:val="697F0AC3"/>
    <w:rsid w:val="69803ECF"/>
    <w:rsid w:val="69806D56"/>
    <w:rsid w:val="698B323F"/>
    <w:rsid w:val="698B6900"/>
    <w:rsid w:val="69922477"/>
    <w:rsid w:val="699A4162"/>
    <w:rsid w:val="699D6C67"/>
    <w:rsid w:val="69A07D45"/>
    <w:rsid w:val="69CB4FCC"/>
    <w:rsid w:val="69E95A08"/>
    <w:rsid w:val="6A4D3729"/>
    <w:rsid w:val="6A71436D"/>
    <w:rsid w:val="6A8F6DC6"/>
    <w:rsid w:val="6A98685B"/>
    <w:rsid w:val="6AD01EA3"/>
    <w:rsid w:val="6AE65966"/>
    <w:rsid w:val="6AEA1A38"/>
    <w:rsid w:val="6AF45E1C"/>
    <w:rsid w:val="6AFE4238"/>
    <w:rsid w:val="6B00720D"/>
    <w:rsid w:val="6B013226"/>
    <w:rsid w:val="6B093531"/>
    <w:rsid w:val="6B4379BA"/>
    <w:rsid w:val="6B69727F"/>
    <w:rsid w:val="6B7B1AB7"/>
    <w:rsid w:val="6B7F395C"/>
    <w:rsid w:val="6B96571C"/>
    <w:rsid w:val="6BA10600"/>
    <w:rsid w:val="6BD02A75"/>
    <w:rsid w:val="6BFD472D"/>
    <w:rsid w:val="6C2A2439"/>
    <w:rsid w:val="6C4A2BCC"/>
    <w:rsid w:val="6C4A73AA"/>
    <w:rsid w:val="6C5555D7"/>
    <w:rsid w:val="6C5D26DE"/>
    <w:rsid w:val="6C6F3584"/>
    <w:rsid w:val="6CAD72EA"/>
    <w:rsid w:val="6CB443E2"/>
    <w:rsid w:val="6CD61E37"/>
    <w:rsid w:val="6CE63C04"/>
    <w:rsid w:val="6D0D4210"/>
    <w:rsid w:val="6D1D357D"/>
    <w:rsid w:val="6D25254C"/>
    <w:rsid w:val="6D323335"/>
    <w:rsid w:val="6D345116"/>
    <w:rsid w:val="6D444ED7"/>
    <w:rsid w:val="6D565C40"/>
    <w:rsid w:val="6D571889"/>
    <w:rsid w:val="6D6714EC"/>
    <w:rsid w:val="6D6C0E2A"/>
    <w:rsid w:val="6D736D24"/>
    <w:rsid w:val="6D750FC0"/>
    <w:rsid w:val="6D81479E"/>
    <w:rsid w:val="6DAA1953"/>
    <w:rsid w:val="6DBE2696"/>
    <w:rsid w:val="6DE07122"/>
    <w:rsid w:val="6DF747FD"/>
    <w:rsid w:val="6E170713"/>
    <w:rsid w:val="6E2B50C1"/>
    <w:rsid w:val="6E591162"/>
    <w:rsid w:val="6E986287"/>
    <w:rsid w:val="6EA9429E"/>
    <w:rsid w:val="6EBE2603"/>
    <w:rsid w:val="6ED12012"/>
    <w:rsid w:val="6EEC3EB3"/>
    <w:rsid w:val="6F1D77EC"/>
    <w:rsid w:val="6F255735"/>
    <w:rsid w:val="6F377216"/>
    <w:rsid w:val="6F5E6073"/>
    <w:rsid w:val="6F694B77"/>
    <w:rsid w:val="6F7867EC"/>
    <w:rsid w:val="6F85011A"/>
    <w:rsid w:val="6F962F74"/>
    <w:rsid w:val="6F9F08D2"/>
    <w:rsid w:val="6FAF590C"/>
    <w:rsid w:val="6FB567CB"/>
    <w:rsid w:val="6FCE1F3D"/>
    <w:rsid w:val="6FE9000B"/>
    <w:rsid w:val="6FF706EC"/>
    <w:rsid w:val="701A18A5"/>
    <w:rsid w:val="70257102"/>
    <w:rsid w:val="703576F2"/>
    <w:rsid w:val="70462105"/>
    <w:rsid w:val="70490FE3"/>
    <w:rsid w:val="704B4447"/>
    <w:rsid w:val="706944A2"/>
    <w:rsid w:val="708C1641"/>
    <w:rsid w:val="70B12FF8"/>
    <w:rsid w:val="70BC557C"/>
    <w:rsid w:val="70BD7BEF"/>
    <w:rsid w:val="70E32650"/>
    <w:rsid w:val="70F85DFA"/>
    <w:rsid w:val="710A6A97"/>
    <w:rsid w:val="71675556"/>
    <w:rsid w:val="717518B6"/>
    <w:rsid w:val="717629EC"/>
    <w:rsid w:val="718830CB"/>
    <w:rsid w:val="719170B1"/>
    <w:rsid w:val="71A072F4"/>
    <w:rsid w:val="71BC78C8"/>
    <w:rsid w:val="71BF07D8"/>
    <w:rsid w:val="71DF1931"/>
    <w:rsid w:val="71F71538"/>
    <w:rsid w:val="723501C4"/>
    <w:rsid w:val="7235491B"/>
    <w:rsid w:val="723C1852"/>
    <w:rsid w:val="72446A73"/>
    <w:rsid w:val="72734A09"/>
    <w:rsid w:val="72785B7B"/>
    <w:rsid w:val="72814BB1"/>
    <w:rsid w:val="728317C6"/>
    <w:rsid w:val="72871C9A"/>
    <w:rsid w:val="729869BA"/>
    <w:rsid w:val="72C67A8E"/>
    <w:rsid w:val="72C80F4C"/>
    <w:rsid w:val="72CC5EF3"/>
    <w:rsid w:val="72CD714E"/>
    <w:rsid w:val="72DD2049"/>
    <w:rsid w:val="72EF3E23"/>
    <w:rsid w:val="730942AF"/>
    <w:rsid w:val="733C220F"/>
    <w:rsid w:val="734748C6"/>
    <w:rsid w:val="734E2001"/>
    <w:rsid w:val="73555CD0"/>
    <w:rsid w:val="736507F6"/>
    <w:rsid w:val="73685547"/>
    <w:rsid w:val="736B56E0"/>
    <w:rsid w:val="73847654"/>
    <w:rsid w:val="739C7F8F"/>
    <w:rsid w:val="73B14760"/>
    <w:rsid w:val="73C828C9"/>
    <w:rsid w:val="73D2114A"/>
    <w:rsid w:val="73DB25D5"/>
    <w:rsid w:val="73E47DF4"/>
    <w:rsid w:val="73ED170E"/>
    <w:rsid w:val="740F1C8D"/>
    <w:rsid w:val="74192B43"/>
    <w:rsid w:val="74347D2F"/>
    <w:rsid w:val="744328F6"/>
    <w:rsid w:val="745C35C3"/>
    <w:rsid w:val="74615C4F"/>
    <w:rsid w:val="7494424F"/>
    <w:rsid w:val="74E76FE8"/>
    <w:rsid w:val="74EC16CB"/>
    <w:rsid w:val="74F0309B"/>
    <w:rsid w:val="74F37A40"/>
    <w:rsid w:val="74FD2437"/>
    <w:rsid w:val="7509459E"/>
    <w:rsid w:val="750E4A90"/>
    <w:rsid w:val="751E5BD0"/>
    <w:rsid w:val="7524023C"/>
    <w:rsid w:val="752F5ABC"/>
    <w:rsid w:val="753541F8"/>
    <w:rsid w:val="753D0631"/>
    <w:rsid w:val="754731FC"/>
    <w:rsid w:val="75713DCF"/>
    <w:rsid w:val="757C2967"/>
    <w:rsid w:val="757E71AA"/>
    <w:rsid w:val="759174F7"/>
    <w:rsid w:val="75934BC6"/>
    <w:rsid w:val="75AA35FC"/>
    <w:rsid w:val="75AB284D"/>
    <w:rsid w:val="75AD32E9"/>
    <w:rsid w:val="75BC776E"/>
    <w:rsid w:val="75BC7CF0"/>
    <w:rsid w:val="75ED4631"/>
    <w:rsid w:val="76012189"/>
    <w:rsid w:val="76127EB1"/>
    <w:rsid w:val="767D3541"/>
    <w:rsid w:val="76812E30"/>
    <w:rsid w:val="76A21419"/>
    <w:rsid w:val="76AA4771"/>
    <w:rsid w:val="76AB1B8B"/>
    <w:rsid w:val="76CA2F8F"/>
    <w:rsid w:val="770A777B"/>
    <w:rsid w:val="770C2902"/>
    <w:rsid w:val="772F463A"/>
    <w:rsid w:val="77397195"/>
    <w:rsid w:val="77603BC8"/>
    <w:rsid w:val="77804670"/>
    <w:rsid w:val="77874263"/>
    <w:rsid w:val="77886AF0"/>
    <w:rsid w:val="778877C6"/>
    <w:rsid w:val="7789289C"/>
    <w:rsid w:val="778E7DD0"/>
    <w:rsid w:val="77917012"/>
    <w:rsid w:val="779F144D"/>
    <w:rsid w:val="77A25449"/>
    <w:rsid w:val="77A522D3"/>
    <w:rsid w:val="77B55490"/>
    <w:rsid w:val="77D86B78"/>
    <w:rsid w:val="77E22743"/>
    <w:rsid w:val="77EF7BE9"/>
    <w:rsid w:val="77F975CB"/>
    <w:rsid w:val="78076E2B"/>
    <w:rsid w:val="780906E3"/>
    <w:rsid w:val="780F38EA"/>
    <w:rsid w:val="781A5A23"/>
    <w:rsid w:val="782625D5"/>
    <w:rsid w:val="784709DE"/>
    <w:rsid w:val="7868514F"/>
    <w:rsid w:val="7870155E"/>
    <w:rsid w:val="78A31D23"/>
    <w:rsid w:val="78AE35A3"/>
    <w:rsid w:val="78B41BC1"/>
    <w:rsid w:val="78E44AB1"/>
    <w:rsid w:val="790D7BDB"/>
    <w:rsid w:val="79274D2F"/>
    <w:rsid w:val="79301296"/>
    <w:rsid w:val="79437B01"/>
    <w:rsid w:val="79652883"/>
    <w:rsid w:val="796706F8"/>
    <w:rsid w:val="7981259C"/>
    <w:rsid w:val="79944A3F"/>
    <w:rsid w:val="79955265"/>
    <w:rsid w:val="79B06543"/>
    <w:rsid w:val="79B65779"/>
    <w:rsid w:val="79BF6F7F"/>
    <w:rsid w:val="79CC3E79"/>
    <w:rsid w:val="79D338C4"/>
    <w:rsid w:val="79D42231"/>
    <w:rsid w:val="79D7264F"/>
    <w:rsid w:val="79F33231"/>
    <w:rsid w:val="79F71EFC"/>
    <w:rsid w:val="79FA118F"/>
    <w:rsid w:val="7A0407F4"/>
    <w:rsid w:val="7A1721A3"/>
    <w:rsid w:val="7A2465E9"/>
    <w:rsid w:val="7A2E49E6"/>
    <w:rsid w:val="7A4235C4"/>
    <w:rsid w:val="7A492AB6"/>
    <w:rsid w:val="7A7F20CC"/>
    <w:rsid w:val="7A8D0632"/>
    <w:rsid w:val="7A93412E"/>
    <w:rsid w:val="7AA433B1"/>
    <w:rsid w:val="7AAE3431"/>
    <w:rsid w:val="7AB16F32"/>
    <w:rsid w:val="7ABD40F5"/>
    <w:rsid w:val="7AFB2BA6"/>
    <w:rsid w:val="7B013089"/>
    <w:rsid w:val="7B2E2C5A"/>
    <w:rsid w:val="7B4231CA"/>
    <w:rsid w:val="7B4B534C"/>
    <w:rsid w:val="7B6535D2"/>
    <w:rsid w:val="7B6E6883"/>
    <w:rsid w:val="7B6F1AE6"/>
    <w:rsid w:val="7B72790E"/>
    <w:rsid w:val="7B94504F"/>
    <w:rsid w:val="7BA23370"/>
    <w:rsid w:val="7BCB6A63"/>
    <w:rsid w:val="7BCF659A"/>
    <w:rsid w:val="7BD00C93"/>
    <w:rsid w:val="7BD5267D"/>
    <w:rsid w:val="7C0A585B"/>
    <w:rsid w:val="7C13121B"/>
    <w:rsid w:val="7C155F96"/>
    <w:rsid w:val="7C4700F4"/>
    <w:rsid w:val="7C4B5CFF"/>
    <w:rsid w:val="7C505034"/>
    <w:rsid w:val="7C674744"/>
    <w:rsid w:val="7C815DB4"/>
    <w:rsid w:val="7CA516CE"/>
    <w:rsid w:val="7CA5443B"/>
    <w:rsid w:val="7CA5646C"/>
    <w:rsid w:val="7CB047A3"/>
    <w:rsid w:val="7CB15A3C"/>
    <w:rsid w:val="7CC73C5F"/>
    <w:rsid w:val="7CE30783"/>
    <w:rsid w:val="7CE720D9"/>
    <w:rsid w:val="7D015E78"/>
    <w:rsid w:val="7D031C58"/>
    <w:rsid w:val="7D033784"/>
    <w:rsid w:val="7D0C3AD2"/>
    <w:rsid w:val="7D374675"/>
    <w:rsid w:val="7D5E2D6C"/>
    <w:rsid w:val="7D7D498E"/>
    <w:rsid w:val="7D7D680A"/>
    <w:rsid w:val="7D85345A"/>
    <w:rsid w:val="7DA3060D"/>
    <w:rsid w:val="7DD22B27"/>
    <w:rsid w:val="7DD731CA"/>
    <w:rsid w:val="7E42494F"/>
    <w:rsid w:val="7E461E85"/>
    <w:rsid w:val="7E570A66"/>
    <w:rsid w:val="7E5E35BA"/>
    <w:rsid w:val="7E8D5A69"/>
    <w:rsid w:val="7E932268"/>
    <w:rsid w:val="7E9B29FB"/>
    <w:rsid w:val="7EA30AD2"/>
    <w:rsid w:val="7ED00AED"/>
    <w:rsid w:val="7EF86151"/>
    <w:rsid w:val="7F0F0952"/>
    <w:rsid w:val="7F0F14DD"/>
    <w:rsid w:val="7F1944EA"/>
    <w:rsid w:val="7F36724F"/>
    <w:rsid w:val="7F48311E"/>
    <w:rsid w:val="7F721FBF"/>
    <w:rsid w:val="7F8340A1"/>
    <w:rsid w:val="7FB86DFD"/>
    <w:rsid w:val="7FC35E9B"/>
    <w:rsid w:val="7FD17358"/>
    <w:rsid w:val="7FD85988"/>
    <w:rsid w:val="7FDB3A9C"/>
    <w:rsid w:val="7FDF3F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2"/>
    <w:qFormat/>
    <w:uiPriority w:val="0"/>
    <w:pPr>
      <w:keepNext/>
      <w:spacing w:before="240" w:after="60"/>
      <w:jc w:val="center"/>
      <w:outlineLvl w:val="0"/>
    </w:pPr>
    <w:rPr>
      <w:rFonts w:ascii="Cambria" w:hAnsi="Cambria"/>
      <w:b/>
      <w:bCs/>
      <w:kern w:val="32"/>
      <w:sz w:val="32"/>
      <w:szCs w:val="32"/>
    </w:rPr>
  </w:style>
  <w:style w:type="paragraph" w:styleId="3">
    <w:name w:val="heading 2"/>
    <w:basedOn w:val="1"/>
    <w:next w:val="1"/>
    <w:link w:val="233"/>
    <w:qFormat/>
    <w:uiPriority w:val="9"/>
    <w:pPr>
      <w:keepNext/>
      <w:spacing w:before="240" w:after="60"/>
      <w:jc w:val="center"/>
      <w:outlineLvl w:val="1"/>
    </w:pPr>
    <w:rPr>
      <w:rFonts w:ascii="Cambria" w:hAnsi="Cambria"/>
      <w:b/>
      <w:bCs/>
      <w:iCs/>
      <w:sz w:val="28"/>
      <w:szCs w:val="28"/>
    </w:rPr>
  </w:style>
  <w:style w:type="paragraph" w:styleId="4">
    <w:name w:val="heading 3"/>
    <w:basedOn w:val="1"/>
    <w:next w:val="1"/>
    <w:link w:val="234"/>
    <w:qFormat/>
    <w:uiPriority w:val="9"/>
    <w:pPr>
      <w:keepNext/>
      <w:tabs>
        <w:tab w:val="left" w:pos="1680"/>
        <w:tab w:val="left" w:pos="2100"/>
      </w:tabs>
      <w:spacing w:before="240" w:after="60"/>
      <w:outlineLvl w:val="2"/>
    </w:pPr>
    <w:rPr>
      <w:rFonts w:ascii="Cambria" w:hAnsi="Cambria"/>
      <w:b/>
      <w:bCs/>
      <w:sz w:val="26"/>
      <w:szCs w:val="26"/>
    </w:rPr>
  </w:style>
  <w:style w:type="paragraph" w:styleId="5">
    <w:name w:val="heading 4"/>
    <w:basedOn w:val="1"/>
    <w:next w:val="1"/>
    <w:link w:val="231"/>
    <w:qFormat/>
    <w:uiPriority w:val="9"/>
    <w:pPr>
      <w:keepNext/>
      <w:spacing w:before="240" w:after="60"/>
      <w:jc w:val="center"/>
      <w:outlineLvl w:val="3"/>
    </w:pPr>
    <w:rPr>
      <w:b/>
      <w:bCs/>
      <w:sz w:val="28"/>
      <w:szCs w:val="28"/>
    </w:rPr>
  </w:style>
  <w:style w:type="paragraph" w:styleId="6">
    <w:name w:val="heading 5"/>
    <w:basedOn w:val="1"/>
    <w:next w:val="1"/>
    <w:link w:val="235"/>
    <w:qFormat/>
    <w:uiPriority w:val="9"/>
    <w:pPr>
      <w:spacing w:before="240" w:after="60"/>
      <w:outlineLvl w:val="4"/>
    </w:pPr>
    <w:rPr>
      <w:b/>
      <w:bCs/>
      <w:i/>
      <w:iCs/>
      <w:sz w:val="26"/>
      <w:szCs w:val="26"/>
    </w:rPr>
  </w:style>
  <w:style w:type="paragraph" w:styleId="7">
    <w:name w:val="heading 6"/>
    <w:basedOn w:val="1"/>
    <w:next w:val="1"/>
    <w:link w:val="236"/>
    <w:qFormat/>
    <w:uiPriority w:val="9"/>
    <w:pPr>
      <w:spacing w:before="240" w:after="60"/>
      <w:outlineLvl w:val="5"/>
    </w:pPr>
    <w:rPr>
      <w:b/>
      <w:bCs/>
      <w:sz w:val="20"/>
      <w:szCs w:val="20"/>
    </w:rPr>
  </w:style>
  <w:style w:type="paragraph" w:styleId="8">
    <w:name w:val="heading 7"/>
    <w:basedOn w:val="1"/>
    <w:next w:val="1"/>
    <w:link w:val="237"/>
    <w:qFormat/>
    <w:uiPriority w:val="9"/>
    <w:pPr>
      <w:spacing w:before="240" w:after="60"/>
      <w:outlineLvl w:val="6"/>
    </w:pPr>
  </w:style>
  <w:style w:type="paragraph" w:styleId="9">
    <w:name w:val="heading 8"/>
    <w:basedOn w:val="1"/>
    <w:next w:val="1"/>
    <w:link w:val="238"/>
    <w:qFormat/>
    <w:uiPriority w:val="9"/>
    <w:pPr>
      <w:spacing w:before="240" w:after="60"/>
      <w:outlineLvl w:val="7"/>
    </w:pPr>
    <w:rPr>
      <w:i/>
      <w:iCs/>
    </w:rPr>
  </w:style>
  <w:style w:type="paragraph" w:styleId="10">
    <w:name w:val="heading 9"/>
    <w:basedOn w:val="1"/>
    <w:next w:val="1"/>
    <w:link w:val="239"/>
    <w:qFormat/>
    <w:uiPriority w:val="9"/>
    <w:pPr>
      <w:spacing w:before="240" w:after="60"/>
      <w:outlineLvl w:val="8"/>
    </w:pPr>
    <w:rPr>
      <w:rFonts w:ascii="Cambria" w:hAnsi="Cambria"/>
      <w:sz w:val="20"/>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link w:val="240"/>
    <w:qFormat/>
    <w:uiPriority w:val="0"/>
    <w:pPr>
      <w:ind w:firstLine="420"/>
    </w:pPr>
    <w:rPr>
      <w:kern w:val="2"/>
      <w:sz w:val="21"/>
      <w:szCs w:val="20"/>
    </w:rPr>
  </w:style>
  <w:style w:type="paragraph" w:styleId="13">
    <w:name w:val="List Bullet"/>
    <w:basedOn w:val="1"/>
    <w:qFormat/>
    <w:uiPriority w:val="0"/>
  </w:style>
  <w:style w:type="paragraph" w:styleId="14">
    <w:name w:val="Document Map"/>
    <w:basedOn w:val="1"/>
    <w:link w:val="241"/>
    <w:qFormat/>
    <w:uiPriority w:val="0"/>
    <w:rPr>
      <w:rFonts w:ascii="宋体"/>
      <w:kern w:val="2"/>
      <w:sz w:val="18"/>
      <w:szCs w:val="18"/>
    </w:rPr>
  </w:style>
  <w:style w:type="paragraph" w:styleId="15">
    <w:name w:val="annotation text"/>
    <w:basedOn w:val="1"/>
    <w:link w:val="242"/>
    <w:qFormat/>
    <w:uiPriority w:val="99"/>
    <w:rPr>
      <w:kern w:val="2"/>
      <w:sz w:val="21"/>
    </w:rPr>
  </w:style>
  <w:style w:type="paragraph" w:styleId="16">
    <w:name w:val="Body Text 3"/>
    <w:basedOn w:val="1"/>
    <w:link w:val="243"/>
    <w:qFormat/>
    <w:uiPriority w:val="0"/>
    <w:pPr>
      <w:spacing w:line="500" w:lineRule="exact"/>
    </w:pPr>
    <w:rPr>
      <w:b/>
      <w:bCs/>
      <w:kern w:val="2"/>
    </w:rPr>
  </w:style>
  <w:style w:type="paragraph" w:styleId="17">
    <w:name w:val="List Bullet 3"/>
    <w:basedOn w:val="1"/>
    <w:qFormat/>
    <w:uiPriority w:val="0"/>
    <w:pPr>
      <w:tabs>
        <w:tab w:val="left" w:pos="1620"/>
      </w:tabs>
      <w:ind w:left="1620" w:hanging="360"/>
    </w:pPr>
  </w:style>
  <w:style w:type="paragraph" w:styleId="18">
    <w:name w:val="Body Text"/>
    <w:basedOn w:val="1"/>
    <w:link w:val="244"/>
    <w:qFormat/>
    <w:uiPriority w:val="0"/>
    <w:pPr>
      <w:spacing w:after="120"/>
    </w:pPr>
    <w:rPr>
      <w:kern w:val="2"/>
      <w:sz w:val="21"/>
    </w:rPr>
  </w:style>
  <w:style w:type="paragraph" w:styleId="19">
    <w:name w:val="Body Text Indent"/>
    <w:basedOn w:val="1"/>
    <w:next w:val="20"/>
    <w:link w:val="246"/>
    <w:qFormat/>
    <w:uiPriority w:val="0"/>
    <w:pPr>
      <w:spacing w:after="120"/>
      <w:ind w:left="420" w:leftChars="200"/>
    </w:pPr>
    <w:rPr>
      <w:kern w:val="2"/>
      <w:sz w:val="21"/>
    </w:rPr>
  </w:style>
  <w:style w:type="paragraph" w:styleId="20">
    <w:name w:val="envelope return"/>
    <w:basedOn w:val="1"/>
    <w:qFormat/>
    <w:uiPriority w:val="0"/>
    <w:pPr>
      <w:snapToGrid w:val="0"/>
    </w:pPr>
    <w:rPr>
      <w:rFonts w:ascii="Arial" w:hAnsi="Arial"/>
    </w:rPr>
  </w:style>
  <w:style w:type="paragraph" w:styleId="21">
    <w:name w:val="Block Text"/>
    <w:basedOn w:val="1"/>
    <w:qFormat/>
    <w:uiPriority w:val="0"/>
    <w:pPr>
      <w:spacing w:line="400" w:lineRule="exact"/>
      <w:ind w:left="-359" w:leftChars="-171" w:right="-687" w:rightChars="-327" w:firstLine="720"/>
    </w:pPr>
    <w:rPr>
      <w:rFonts w:ascii="宋体" w:hAnsi="宋体"/>
      <w:sz w:val="28"/>
    </w:rPr>
  </w:style>
  <w:style w:type="paragraph" w:styleId="22">
    <w:name w:val="List Bullet 2"/>
    <w:basedOn w:val="1"/>
    <w:qFormat/>
    <w:uiPriority w:val="0"/>
    <w:pPr>
      <w:tabs>
        <w:tab w:val="left" w:pos="1440"/>
      </w:tabs>
      <w:ind w:left="1440" w:hanging="960"/>
    </w:pPr>
  </w:style>
  <w:style w:type="paragraph" w:styleId="23">
    <w:name w:val="toc 5"/>
    <w:basedOn w:val="1"/>
    <w:next w:val="1"/>
    <w:qFormat/>
    <w:uiPriority w:val="0"/>
    <w:pPr>
      <w:ind w:left="1680" w:leftChars="800"/>
    </w:pPr>
  </w:style>
  <w:style w:type="paragraph" w:styleId="24">
    <w:name w:val="toc 3"/>
    <w:basedOn w:val="1"/>
    <w:next w:val="1"/>
    <w:qFormat/>
    <w:uiPriority w:val="0"/>
    <w:pPr>
      <w:ind w:left="840" w:leftChars="400"/>
    </w:pPr>
  </w:style>
  <w:style w:type="paragraph" w:styleId="25">
    <w:name w:val="Plain Text"/>
    <w:basedOn w:val="1"/>
    <w:link w:val="247"/>
    <w:qFormat/>
    <w:uiPriority w:val="0"/>
    <w:rPr>
      <w:rFonts w:ascii="宋体" w:hAnsi="Courier New"/>
      <w:kern w:val="2"/>
      <w:sz w:val="21"/>
      <w:szCs w:val="20"/>
    </w:rPr>
  </w:style>
  <w:style w:type="paragraph" w:styleId="26">
    <w:name w:val="toc 8"/>
    <w:basedOn w:val="1"/>
    <w:next w:val="1"/>
    <w:qFormat/>
    <w:uiPriority w:val="0"/>
    <w:pPr>
      <w:ind w:left="2940" w:leftChars="1400"/>
    </w:pPr>
  </w:style>
  <w:style w:type="paragraph" w:styleId="27">
    <w:name w:val="Date"/>
    <w:basedOn w:val="1"/>
    <w:next w:val="1"/>
    <w:link w:val="248"/>
    <w:qFormat/>
    <w:uiPriority w:val="0"/>
    <w:pPr>
      <w:ind w:left="100" w:leftChars="2500"/>
    </w:pPr>
    <w:rPr>
      <w:kern w:val="2"/>
      <w:sz w:val="21"/>
    </w:rPr>
  </w:style>
  <w:style w:type="paragraph" w:styleId="28">
    <w:name w:val="Body Text Indent 2"/>
    <w:basedOn w:val="1"/>
    <w:link w:val="249"/>
    <w:qFormat/>
    <w:uiPriority w:val="0"/>
    <w:pPr>
      <w:ind w:left="105" w:firstLine="690"/>
    </w:pPr>
    <w:rPr>
      <w:kern w:val="2"/>
      <w:sz w:val="32"/>
    </w:rPr>
  </w:style>
  <w:style w:type="paragraph" w:styleId="29">
    <w:name w:val="Balloon Text"/>
    <w:basedOn w:val="1"/>
    <w:link w:val="250"/>
    <w:qFormat/>
    <w:uiPriority w:val="99"/>
    <w:rPr>
      <w:kern w:val="2"/>
      <w:sz w:val="18"/>
      <w:szCs w:val="18"/>
    </w:rPr>
  </w:style>
  <w:style w:type="paragraph" w:styleId="30">
    <w:name w:val="footer"/>
    <w:basedOn w:val="1"/>
    <w:link w:val="251"/>
    <w:qFormat/>
    <w:uiPriority w:val="99"/>
    <w:pPr>
      <w:tabs>
        <w:tab w:val="center" w:pos="4153"/>
        <w:tab w:val="right" w:pos="8306"/>
      </w:tabs>
      <w:snapToGrid w:val="0"/>
    </w:pPr>
    <w:rPr>
      <w:kern w:val="2"/>
      <w:sz w:val="18"/>
      <w:szCs w:val="18"/>
    </w:rPr>
  </w:style>
  <w:style w:type="paragraph" w:styleId="31">
    <w:name w:val="header"/>
    <w:basedOn w:val="1"/>
    <w:link w:val="252"/>
    <w:qFormat/>
    <w:uiPriority w:val="99"/>
    <w:pPr>
      <w:pBdr>
        <w:bottom w:val="single" w:color="auto" w:sz="6" w:space="1"/>
      </w:pBdr>
      <w:tabs>
        <w:tab w:val="center" w:pos="4153"/>
        <w:tab w:val="right" w:pos="8306"/>
      </w:tabs>
      <w:snapToGrid w:val="0"/>
      <w:jc w:val="center"/>
    </w:pPr>
    <w:rPr>
      <w:kern w:val="2"/>
      <w:sz w:val="18"/>
      <w:szCs w:val="18"/>
    </w:rPr>
  </w:style>
  <w:style w:type="paragraph" w:styleId="32">
    <w:name w:val="toc 1"/>
    <w:basedOn w:val="1"/>
    <w:next w:val="1"/>
    <w:qFormat/>
    <w:uiPriority w:val="39"/>
    <w:pPr>
      <w:spacing w:line="360" w:lineRule="auto"/>
    </w:pPr>
    <w:rPr>
      <w:b/>
    </w:rPr>
  </w:style>
  <w:style w:type="paragraph" w:styleId="33">
    <w:name w:val="toc 4"/>
    <w:basedOn w:val="1"/>
    <w:next w:val="1"/>
    <w:qFormat/>
    <w:uiPriority w:val="0"/>
    <w:pPr>
      <w:ind w:left="1260" w:leftChars="600"/>
    </w:pPr>
  </w:style>
  <w:style w:type="paragraph" w:styleId="34">
    <w:name w:val="Subtitle"/>
    <w:basedOn w:val="1"/>
    <w:next w:val="1"/>
    <w:link w:val="245"/>
    <w:qFormat/>
    <w:uiPriority w:val="11"/>
    <w:pPr>
      <w:spacing w:after="60"/>
      <w:jc w:val="center"/>
      <w:outlineLvl w:val="1"/>
    </w:pPr>
    <w:rPr>
      <w:rFonts w:ascii="Cambria" w:hAnsi="Cambria"/>
    </w:rPr>
  </w:style>
  <w:style w:type="paragraph" w:styleId="35">
    <w:name w:val="footnote text"/>
    <w:basedOn w:val="1"/>
    <w:link w:val="253"/>
    <w:qFormat/>
    <w:uiPriority w:val="0"/>
    <w:pPr>
      <w:snapToGrid w:val="0"/>
    </w:pPr>
    <w:rPr>
      <w:kern w:val="2"/>
      <w:sz w:val="18"/>
      <w:szCs w:val="18"/>
    </w:rPr>
  </w:style>
  <w:style w:type="paragraph" w:styleId="36">
    <w:name w:val="toc 6"/>
    <w:basedOn w:val="1"/>
    <w:next w:val="1"/>
    <w:qFormat/>
    <w:uiPriority w:val="0"/>
    <w:pPr>
      <w:ind w:left="2100" w:leftChars="1000"/>
    </w:pPr>
  </w:style>
  <w:style w:type="paragraph" w:styleId="37">
    <w:name w:val="Body Text Indent 3"/>
    <w:basedOn w:val="1"/>
    <w:link w:val="254"/>
    <w:qFormat/>
    <w:uiPriority w:val="0"/>
    <w:pPr>
      <w:adjustRightInd w:val="0"/>
      <w:spacing w:line="360" w:lineRule="auto"/>
      <w:ind w:left="960"/>
      <w:textAlignment w:val="baseline"/>
    </w:pPr>
    <w:rPr>
      <w:rFonts w:eastAsia="楷体"/>
      <w:szCs w:val="20"/>
    </w:rPr>
  </w:style>
  <w:style w:type="paragraph" w:styleId="38">
    <w:name w:val="toc 2"/>
    <w:basedOn w:val="1"/>
    <w:next w:val="1"/>
    <w:qFormat/>
    <w:uiPriority w:val="0"/>
    <w:pPr>
      <w:ind w:left="420" w:leftChars="200"/>
    </w:pPr>
  </w:style>
  <w:style w:type="paragraph" w:styleId="39">
    <w:name w:val="toc 9"/>
    <w:basedOn w:val="1"/>
    <w:next w:val="1"/>
    <w:qFormat/>
    <w:uiPriority w:val="0"/>
    <w:pPr>
      <w:ind w:left="3360" w:leftChars="1600"/>
    </w:pPr>
  </w:style>
  <w:style w:type="paragraph" w:styleId="40">
    <w:name w:val="Body Text 2"/>
    <w:basedOn w:val="1"/>
    <w:link w:val="255"/>
    <w:qFormat/>
    <w:uiPriority w:val="0"/>
    <w:pPr>
      <w:spacing w:after="120" w:line="480" w:lineRule="auto"/>
    </w:pPr>
    <w:rPr>
      <w:rFonts w:ascii="Calibri" w:hAnsi="Calibri"/>
      <w:kern w:val="2"/>
      <w:sz w:val="21"/>
      <w:szCs w:val="22"/>
    </w:rPr>
  </w:style>
  <w:style w:type="paragraph" w:styleId="41">
    <w:name w:val="HTML Preformatted"/>
    <w:basedOn w:val="1"/>
    <w:link w:val="256"/>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sz w:val="21"/>
    </w:rPr>
  </w:style>
  <w:style w:type="paragraph" w:styleId="42">
    <w:name w:val="Normal (Web)"/>
    <w:basedOn w:val="1"/>
    <w:qFormat/>
    <w:uiPriority w:val="99"/>
    <w:pPr>
      <w:spacing w:before="100" w:beforeAutospacing="1" w:after="100" w:afterAutospacing="1"/>
    </w:pPr>
    <w:rPr>
      <w:rFonts w:ascii="宋体" w:hAnsi="宋体"/>
    </w:rPr>
  </w:style>
  <w:style w:type="paragraph" w:styleId="43">
    <w:name w:val="index 1"/>
    <w:basedOn w:val="1"/>
    <w:next w:val="1"/>
    <w:unhideWhenUsed/>
    <w:qFormat/>
    <w:uiPriority w:val="0"/>
    <w:pPr>
      <w:jc w:val="center"/>
    </w:pPr>
    <w:rPr>
      <w:szCs w:val="20"/>
    </w:rPr>
  </w:style>
  <w:style w:type="paragraph" w:styleId="44">
    <w:name w:val="Title"/>
    <w:basedOn w:val="1"/>
    <w:next w:val="1"/>
    <w:link w:val="257"/>
    <w:qFormat/>
    <w:uiPriority w:val="10"/>
    <w:pPr>
      <w:spacing w:before="240" w:after="60"/>
      <w:jc w:val="center"/>
      <w:outlineLvl w:val="0"/>
    </w:pPr>
    <w:rPr>
      <w:rFonts w:ascii="Cambria" w:hAnsi="Cambria"/>
      <w:b/>
      <w:bCs/>
      <w:kern w:val="28"/>
      <w:sz w:val="32"/>
      <w:szCs w:val="32"/>
    </w:rPr>
  </w:style>
  <w:style w:type="paragraph" w:styleId="45">
    <w:name w:val="annotation subject"/>
    <w:basedOn w:val="15"/>
    <w:next w:val="15"/>
    <w:link w:val="258"/>
    <w:qFormat/>
    <w:uiPriority w:val="99"/>
  </w:style>
  <w:style w:type="paragraph" w:styleId="46">
    <w:name w:val="Body Text First Indent"/>
    <w:basedOn w:val="18"/>
    <w:next w:val="1"/>
    <w:link w:val="259"/>
    <w:qFormat/>
    <w:uiPriority w:val="0"/>
    <w:pPr>
      <w:spacing w:after="0"/>
      <w:ind w:firstLine="420" w:firstLineChars="100"/>
    </w:pPr>
    <w:rPr>
      <w:rFonts w:ascii="Arial" w:hAnsi="Arial"/>
      <w:color w:val="000000"/>
    </w:rPr>
  </w:style>
  <w:style w:type="paragraph" w:styleId="47">
    <w:name w:val="Body Text First Indent 2"/>
    <w:basedOn w:val="19"/>
    <w:next w:val="1"/>
    <w:qFormat/>
    <w:uiPriority w:val="0"/>
    <w:pPr>
      <w:ind w:left="420" w:leftChars="200" w:firstLine="420" w:firstLineChars="200"/>
    </w:pPr>
    <w:rPr>
      <w:sz w:val="21"/>
    </w:rPr>
  </w:style>
  <w:style w:type="table" w:styleId="49">
    <w:name w:val="Table Grid"/>
    <w:basedOn w:val="4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1">
    <w:name w:val="Strong"/>
    <w:basedOn w:val="50"/>
    <w:qFormat/>
    <w:uiPriority w:val="22"/>
    <w:rPr>
      <w:b/>
      <w:bCs/>
    </w:rPr>
  </w:style>
  <w:style w:type="character" w:styleId="52">
    <w:name w:val="page number"/>
    <w:basedOn w:val="50"/>
    <w:qFormat/>
    <w:uiPriority w:val="0"/>
  </w:style>
  <w:style w:type="character" w:styleId="53">
    <w:name w:val="FollowedHyperlink"/>
    <w:qFormat/>
    <w:uiPriority w:val="99"/>
    <w:rPr>
      <w:color w:val="3D3D3D"/>
      <w:u w:val="none"/>
    </w:rPr>
  </w:style>
  <w:style w:type="character" w:styleId="54">
    <w:name w:val="Emphasis"/>
    <w:qFormat/>
    <w:uiPriority w:val="20"/>
    <w:rPr>
      <w:rFonts w:ascii="Calibri" w:hAnsi="Calibri"/>
      <w:b/>
      <w:i/>
      <w:iCs/>
    </w:rPr>
  </w:style>
  <w:style w:type="character" w:styleId="55">
    <w:name w:val="HTML Definition"/>
    <w:qFormat/>
    <w:uiPriority w:val="0"/>
  </w:style>
  <w:style w:type="character" w:styleId="56">
    <w:name w:val="HTML Typewriter"/>
    <w:qFormat/>
    <w:uiPriority w:val="0"/>
    <w:rPr>
      <w:rFonts w:ascii="Consolas" w:hAnsi="Consolas"/>
      <w:sz w:val="20"/>
      <w:szCs w:val="20"/>
    </w:rPr>
  </w:style>
  <w:style w:type="character" w:styleId="57">
    <w:name w:val="HTML Variable"/>
    <w:qFormat/>
    <w:uiPriority w:val="0"/>
  </w:style>
  <w:style w:type="character" w:styleId="58">
    <w:name w:val="Hyperlink"/>
    <w:qFormat/>
    <w:uiPriority w:val="99"/>
    <w:rPr>
      <w:color w:val="3D3D3D"/>
      <w:u w:val="none"/>
    </w:rPr>
  </w:style>
  <w:style w:type="character" w:styleId="59">
    <w:name w:val="HTML Code"/>
    <w:qFormat/>
    <w:uiPriority w:val="0"/>
    <w:rPr>
      <w:rFonts w:ascii="Courier New" w:hAnsi="Courier New"/>
      <w:sz w:val="20"/>
    </w:rPr>
  </w:style>
  <w:style w:type="character" w:styleId="60">
    <w:name w:val="annotation reference"/>
    <w:qFormat/>
    <w:uiPriority w:val="99"/>
    <w:rPr>
      <w:sz w:val="21"/>
      <w:szCs w:val="21"/>
    </w:rPr>
  </w:style>
  <w:style w:type="character" w:styleId="61">
    <w:name w:val="HTML Cite"/>
    <w:qFormat/>
    <w:uiPriority w:val="0"/>
  </w:style>
  <w:style w:type="character" w:styleId="62">
    <w:name w:val="footnote reference"/>
    <w:qFormat/>
    <w:uiPriority w:val="0"/>
    <w:rPr>
      <w:vertAlign w:val="superscript"/>
    </w:rPr>
  </w:style>
  <w:style w:type="paragraph" w:customStyle="1" w:styleId="63">
    <w:name w:val="标题 5（有编号）（绿盟科技）"/>
    <w:basedOn w:val="1"/>
    <w:next w:val="1"/>
    <w:qFormat/>
    <w:uiPriority w:val="0"/>
    <w:pPr>
      <w:keepNext/>
      <w:keepLines/>
      <w:numPr>
        <w:ilvl w:val="4"/>
        <w:numId w:val="1"/>
      </w:numPr>
      <w:spacing w:before="280" w:after="156" w:line="377" w:lineRule="auto"/>
      <w:jc w:val="left"/>
      <w:outlineLvl w:val="4"/>
    </w:pPr>
    <w:rPr>
      <w:rFonts w:ascii="Arial" w:hAnsi="Arial" w:eastAsia="黑体" w:cs="Times New Roman"/>
      <w:b/>
      <w:sz w:val="24"/>
      <w:szCs w:val="28"/>
    </w:rPr>
  </w:style>
  <w:style w:type="paragraph" w:customStyle="1" w:styleId="64">
    <w:name w:val="(符号)五标题1.1.1"/>
    <w:basedOn w:val="1"/>
    <w:link w:val="286"/>
    <w:qFormat/>
    <w:uiPriority w:val="99"/>
    <w:pPr>
      <w:tabs>
        <w:tab w:val="left" w:pos="1000"/>
      </w:tabs>
      <w:spacing w:line="500" w:lineRule="exact"/>
      <w:ind w:left="1000" w:hanging="1000"/>
    </w:pPr>
    <w:rPr>
      <w:rFonts w:ascii="宋体" w:hAnsi="宋体"/>
      <w:color w:val="000000"/>
      <w:kern w:val="2"/>
      <w:szCs w:val="20"/>
    </w:rPr>
  </w:style>
  <w:style w:type="paragraph" w:styleId="65">
    <w:name w:val="No Spacing"/>
    <w:basedOn w:val="1"/>
    <w:link w:val="323"/>
    <w:qFormat/>
    <w:uiPriority w:val="1"/>
    <w:rPr>
      <w:szCs w:val="32"/>
    </w:rPr>
  </w:style>
  <w:style w:type="paragraph" w:customStyle="1" w:styleId="66">
    <w:name w:val="段"/>
    <w:link w:val="342"/>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67">
    <w:name w:val="Quote"/>
    <w:basedOn w:val="1"/>
    <w:next w:val="1"/>
    <w:link w:val="388"/>
    <w:qFormat/>
    <w:uiPriority w:val="29"/>
    <w:rPr>
      <w:i/>
    </w:rPr>
  </w:style>
  <w:style w:type="paragraph" w:customStyle="1" w:styleId="68">
    <w:name w:val="（符号）三标题1.1"/>
    <w:basedOn w:val="1"/>
    <w:link w:val="415"/>
    <w:qFormat/>
    <w:uiPriority w:val="0"/>
    <w:pPr>
      <w:tabs>
        <w:tab w:val="left" w:pos="700"/>
        <w:tab w:val="left" w:pos="1365"/>
      </w:tabs>
      <w:spacing w:line="500" w:lineRule="exact"/>
      <w:ind w:left="840" w:hanging="420"/>
    </w:pPr>
    <w:rPr>
      <w:rFonts w:ascii="宋体" w:hAnsi="宋体"/>
      <w:kern w:val="2"/>
    </w:rPr>
  </w:style>
  <w:style w:type="paragraph" w:customStyle="1" w:styleId="69">
    <w:name w:val="_Style 14"/>
    <w:basedOn w:val="1"/>
    <w:link w:val="418"/>
    <w:qFormat/>
    <w:uiPriority w:val="0"/>
    <w:pPr>
      <w:spacing w:beforeLines="50" w:afterLines="50"/>
      <w:ind w:firstLine="420" w:firstLineChars="200"/>
    </w:pPr>
    <w:rPr>
      <w:rFonts w:ascii="Calibri" w:hAnsi="Calibri"/>
      <w:sz w:val="20"/>
      <w:szCs w:val="21"/>
    </w:rPr>
  </w:style>
  <w:style w:type="paragraph" w:styleId="70">
    <w:name w:val="Intense Quote"/>
    <w:basedOn w:val="1"/>
    <w:next w:val="1"/>
    <w:link w:val="425"/>
    <w:qFormat/>
    <w:uiPriority w:val="30"/>
    <w:pPr>
      <w:ind w:left="720" w:right="720"/>
    </w:pPr>
    <w:rPr>
      <w:b/>
      <w:i/>
      <w:szCs w:val="20"/>
    </w:rPr>
  </w:style>
  <w:style w:type="paragraph" w:customStyle="1" w:styleId="71">
    <w:name w:val="_Style 67"/>
    <w:basedOn w:val="1"/>
    <w:next w:val="1"/>
    <w:link w:val="465"/>
    <w:qFormat/>
    <w:uiPriority w:val="0"/>
    <w:pPr>
      <w:pBdr>
        <w:bottom w:val="single" w:color="auto" w:sz="6" w:space="1"/>
      </w:pBdr>
      <w:jc w:val="center"/>
    </w:pPr>
    <w:rPr>
      <w:rFonts w:ascii="Arial" w:hAnsi="Arial"/>
      <w:vanish/>
      <w:sz w:val="16"/>
      <w:szCs w:val="16"/>
    </w:rPr>
  </w:style>
  <w:style w:type="paragraph" w:customStyle="1" w:styleId="72">
    <w:name w:val="标题样式"/>
    <w:basedOn w:val="1"/>
    <w:link w:val="496"/>
    <w:qFormat/>
    <w:uiPriority w:val="0"/>
    <w:pPr>
      <w:jc w:val="center"/>
    </w:pPr>
    <w:rPr>
      <w:rFonts w:ascii="黑体" w:eastAsia="黑体"/>
      <w:b/>
      <w:kern w:val="2"/>
      <w:sz w:val="32"/>
      <w:szCs w:val="20"/>
    </w:rPr>
  </w:style>
  <w:style w:type="paragraph" w:customStyle="1" w:styleId="73">
    <w:name w:val="表格"/>
    <w:basedOn w:val="1"/>
    <w:link w:val="509"/>
    <w:qFormat/>
    <w:uiPriority w:val="0"/>
    <w:pPr>
      <w:spacing w:line="400" w:lineRule="exact"/>
    </w:pPr>
    <w:rPr>
      <w:kern w:val="2"/>
    </w:rPr>
  </w:style>
  <w:style w:type="paragraph" w:customStyle="1" w:styleId="74">
    <w:name w:val="_Style 70"/>
    <w:basedOn w:val="1"/>
    <w:next w:val="1"/>
    <w:link w:val="510"/>
    <w:qFormat/>
    <w:uiPriority w:val="0"/>
    <w:pPr>
      <w:pBdr>
        <w:top w:val="single" w:color="auto" w:sz="6" w:space="1"/>
      </w:pBdr>
      <w:jc w:val="center"/>
    </w:pPr>
    <w:rPr>
      <w:rFonts w:ascii="Arial" w:hAnsi="Arial"/>
      <w:vanish/>
      <w:sz w:val="16"/>
      <w:szCs w:val="16"/>
    </w:rPr>
  </w:style>
  <w:style w:type="paragraph" w:customStyle="1" w:styleId="75">
    <w:name w:val="样式1"/>
    <w:basedOn w:val="1"/>
    <w:link w:val="515"/>
    <w:qFormat/>
    <w:uiPriority w:val="99"/>
    <w:pPr>
      <w:spacing w:before="120" w:after="120" w:line="300" w:lineRule="auto"/>
    </w:pPr>
    <w:rPr>
      <w:rFonts w:ascii="宋体" w:hAnsi="宋体" w:eastAsia="黑体"/>
      <w:b/>
      <w:bCs/>
      <w:kern w:val="2"/>
      <w:szCs w:val="32"/>
    </w:rPr>
  </w:style>
  <w:style w:type="paragraph" w:customStyle="1" w:styleId="76">
    <w:name w:val="Table Paragraph"/>
    <w:basedOn w:val="1"/>
    <w:qFormat/>
    <w:uiPriority w:val="1"/>
    <w:pPr>
      <w:widowControl w:val="0"/>
      <w:jc w:val="both"/>
    </w:pPr>
    <w:rPr>
      <w:rFonts w:ascii="宋体" w:hAnsi="宋体" w:cs="宋体"/>
      <w:kern w:val="2"/>
      <w:sz w:val="21"/>
      <w:szCs w:val="22"/>
      <w:lang w:val="zh-CN" w:bidi="zh-CN"/>
    </w:rPr>
  </w:style>
  <w:style w:type="paragraph" w:customStyle="1" w:styleId="77">
    <w:name w:val="默认"/>
    <w:qFormat/>
    <w:uiPriority w:val="0"/>
    <w:rPr>
      <w:rFonts w:ascii="Helvetica Neue" w:hAnsi="Helvetica Neue" w:eastAsia="Arial Unicode MS" w:cs="Arial Unicode MS"/>
      <w:color w:val="000000"/>
      <w:sz w:val="22"/>
      <w:szCs w:val="22"/>
      <w:u w:color="000000"/>
      <w:lang w:val="en-US" w:eastAsia="zh-CN" w:bidi="ar-SA"/>
    </w:rPr>
  </w:style>
  <w:style w:type="paragraph" w:customStyle="1" w:styleId="78">
    <w:name w:val="纯文本1"/>
    <w:basedOn w:val="1"/>
    <w:qFormat/>
    <w:uiPriority w:val="0"/>
    <w:pPr>
      <w:adjustRightInd w:val="0"/>
      <w:textAlignment w:val="baseline"/>
    </w:pPr>
    <w:rPr>
      <w:rFonts w:ascii="宋体" w:hAnsi="Courier New"/>
      <w:szCs w:val="20"/>
    </w:rPr>
  </w:style>
  <w:style w:type="paragraph" w:customStyle="1" w:styleId="79">
    <w:name w:val="font1"/>
    <w:basedOn w:val="1"/>
    <w:qFormat/>
    <w:uiPriority w:val="0"/>
    <w:pPr>
      <w:spacing w:before="100" w:beforeAutospacing="1" w:after="100" w:afterAutospacing="1"/>
    </w:pPr>
    <w:rPr>
      <w:rFonts w:hint="eastAsia" w:ascii="宋体" w:hAnsi="宋体"/>
    </w:rPr>
  </w:style>
  <w:style w:type="paragraph" w:customStyle="1" w:styleId="80">
    <w:name w:val="Standard o abs"/>
    <w:basedOn w:val="1"/>
    <w:qFormat/>
    <w:uiPriority w:val="0"/>
    <w:pPr>
      <w:tabs>
        <w:tab w:val="left" w:pos="2835"/>
        <w:tab w:val="left" w:pos="3119"/>
        <w:tab w:val="left" w:pos="3402"/>
        <w:tab w:val="left" w:pos="3686"/>
        <w:tab w:val="left" w:pos="3969"/>
        <w:tab w:val="left" w:pos="4253"/>
      </w:tabs>
      <w:ind w:left="2552"/>
    </w:pPr>
    <w:rPr>
      <w:rFonts w:ascii="Syntax" w:hAnsi="Syntax"/>
      <w:sz w:val="20"/>
      <w:szCs w:val="20"/>
      <w:lang w:val="de-DE" w:eastAsia="de-DE"/>
    </w:rPr>
  </w:style>
  <w:style w:type="paragraph" w:customStyle="1" w:styleId="81">
    <w:name w:val="xl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sz w:val="20"/>
      <w:szCs w:val="20"/>
    </w:rPr>
  </w:style>
  <w:style w:type="paragraph" w:customStyle="1" w:styleId="82">
    <w:name w:val="Char1"/>
    <w:basedOn w:val="1"/>
    <w:qFormat/>
    <w:uiPriority w:val="0"/>
    <w:rPr>
      <w:szCs w:val="21"/>
    </w:rPr>
  </w:style>
  <w:style w:type="paragraph" w:customStyle="1" w:styleId="83">
    <w:name w:val="pa-0"/>
    <w:basedOn w:val="1"/>
    <w:qFormat/>
    <w:uiPriority w:val="0"/>
    <w:pPr>
      <w:spacing w:line="400" w:lineRule="atLeast"/>
      <w:jc w:val="center"/>
    </w:pPr>
    <w:rPr>
      <w:rFonts w:hAnsi="宋体"/>
      <w:szCs w:val="20"/>
    </w:rPr>
  </w:style>
  <w:style w:type="paragraph" w:customStyle="1" w:styleId="84">
    <w:name w:val="■立项"/>
    <w:basedOn w:val="1"/>
    <w:qFormat/>
    <w:uiPriority w:val="0"/>
    <w:pPr>
      <w:spacing w:beforeLines="30" w:afterLines="30" w:line="360" w:lineRule="auto"/>
    </w:pPr>
    <w:rPr>
      <w:rFonts w:ascii="仿宋_GB2312" w:hAnsi="宋体" w:eastAsia="仿宋_GB2312"/>
      <w:b/>
      <w:szCs w:val="21"/>
    </w:rPr>
  </w:style>
  <w:style w:type="paragraph" w:customStyle="1" w:styleId="85">
    <w:name w:val="正文 + 宋体"/>
    <w:basedOn w:val="1"/>
    <w:qFormat/>
    <w:uiPriority w:val="0"/>
    <w:pPr>
      <w:ind w:left="360" w:hanging="360"/>
    </w:pPr>
    <w:rPr>
      <w:rFonts w:ascii="宋体" w:hAnsi="宋体" w:cs="宋体"/>
      <w:b/>
      <w:bCs/>
      <w:color w:val="000000"/>
      <w:sz w:val="18"/>
      <w:szCs w:val="18"/>
    </w:rPr>
  </w:style>
  <w:style w:type="paragraph" w:customStyle="1" w:styleId="86">
    <w:name w:val="列出段落3"/>
    <w:basedOn w:val="1"/>
    <w:qFormat/>
    <w:uiPriority w:val="34"/>
    <w:pPr>
      <w:ind w:firstLine="420" w:firstLineChars="200"/>
    </w:pPr>
    <w:rPr>
      <w:rFonts w:ascii="Calibri" w:hAnsi="Calibri"/>
      <w:szCs w:val="22"/>
    </w:rPr>
  </w:style>
  <w:style w:type="paragraph" w:customStyle="1" w:styleId="87">
    <w:name w:val="xl35"/>
    <w:basedOn w:val="1"/>
    <w:qFormat/>
    <w:uiPriority w:val="0"/>
    <w:pPr>
      <w:spacing w:before="100" w:beforeAutospacing="1" w:after="100" w:afterAutospacing="1"/>
    </w:pPr>
    <w:rPr>
      <w:rFonts w:ascii="Arial Unicode MS" w:hAnsi="Arial Unicode MS" w:eastAsia="Arial Unicode MS" w:cs="Arial Unicode MS"/>
      <w:color w:val="000000"/>
      <w:sz w:val="20"/>
      <w:szCs w:val="20"/>
    </w:rPr>
  </w:style>
  <w:style w:type="paragraph" w:customStyle="1" w:styleId="88">
    <w:name w:val="菲页(卷)"/>
    <w:basedOn w:val="2"/>
    <w:next w:val="89"/>
    <w:qFormat/>
    <w:uiPriority w:val="0"/>
    <w:pPr>
      <w:tabs>
        <w:tab w:val="left" w:pos="420"/>
      </w:tabs>
      <w:spacing w:before="0" w:after="0"/>
      <w:ind w:left="430" w:hanging="430"/>
      <w:outlineLvl w:val="1"/>
    </w:pPr>
    <w:rPr>
      <w:rFonts w:ascii="黑体" w:eastAsia="黑体"/>
      <w:b w:val="0"/>
      <w:bCs w:val="0"/>
      <w:kern w:val="0"/>
      <w:sz w:val="52"/>
      <w:szCs w:val="20"/>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90">
    <w:name w:val="xl62"/>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szCs w:val="21"/>
    </w:rPr>
  </w:style>
  <w:style w:type="paragraph" w:customStyle="1" w:styleId="91">
    <w:name w:val="Char2 Char Char Char"/>
    <w:basedOn w:val="1"/>
    <w:qFormat/>
    <w:uiPriority w:val="0"/>
    <w:rPr>
      <w:rFonts w:ascii="仿宋_GB2312" w:eastAsia="仿宋_GB2312"/>
      <w:b/>
      <w:sz w:val="32"/>
      <w:szCs w:val="32"/>
    </w:rPr>
  </w:style>
  <w:style w:type="paragraph" w:customStyle="1" w:styleId="92">
    <w:name w:val="xl56"/>
    <w:basedOn w:val="1"/>
    <w:qFormat/>
    <w:uiPriority w:val="0"/>
    <w:pPr>
      <w:pBdr>
        <w:left w:val="single" w:color="auto" w:sz="4" w:space="0"/>
        <w:bottom w:val="single" w:color="auto" w:sz="8" w:space="0"/>
        <w:right w:val="single" w:color="auto" w:sz="4" w:space="0"/>
      </w:pBdr>
      <w:spacing w:before="100" w:beforeAutospacing="1" w:after="100" w:afterAutospacing="1"/>
      <w:jc w:val="right"/>
      <w:textAlignment w:val="center"/>
    </w:pPr>
    <w:rPr>
      <w:szCs w:val="21"/>
    </w:rPr>
  </w:style>
  <w:style w:type="paragraph" w:customStyle="1" w:styleId="93">
    <w:name w:val="默认段落字体 Para Char"/>
    <w:basedOn w:val="1"/>
    <w:qFormat/>
    <w:uiPriority w:val="0"/>
    <w:rPr>
      <w:sz w:val="28"/>
      <w:szCs w:val="20"/>
    </w:rPr>
  </w:style>
  <w:style w:type="paragraph" w:customStyle="1" w:styleId="94">
    <w:name w:val="xl63"/>
    <w:basedOn w:val="1"/>
    <w:qFormat/>
    <w:uiPriority w:val="0"/>
    <w:pPr>
      <w:pBdr>
        <w:top w:val="single" w:color="auto" w:sz="8" w:space="0"/>
        <w:left w:val="single" w:color="auto" w:sz="4" w:space="0"/>
        <w:bottom w:val="single" w:color="000000" w:sz="4" w:space="0"/>
        <w:right w:val="single" w:color="auto" w:sz="4" w:space="0"/>
      </w:pBdr>
      <w:spacing w:before="100" w:beforeAutospacing="1" w:after="100" w:afterAutospacing="1"/>
      <w:jc w:val="right"/>
      <w:textAlignment w:val="center"/>
    </w:pPr>
    <w:rPr>
      <w:szCs w:val="21"/>
    </w:rPr>
  </w:style>
  <w:style w:type="paragraph" w:customStyle="1" w:styleId="95">
    <w:name w:val="xl5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宋体" w:hAnsi="宋体"/>
      <w:szCs w:val="21"/>
    </w:rPr>
  </w:style>
  <w:style w:type="paragraph" w:customStyle="1" w:styleId="96">
    <w:name w:val="pa-2"/>
    <w:basedOn w:val="1"/>
    <w:qFormat/>
    <w:uiPriority w:val="0"/>
    <w:pPr>
      <w:spacing w:before="136" w:after="136"/>
    </w:pPr>
    <w:rPr>
      <w:rFonts w:ascii="宋体" w:hAnsi="宋体" w:cs="宋体"/>
    </w:rPr>
  </w:style>
  <w:style w:type="paragraph" w:customStyle="1" w:styleId="97">
    <w:name w:val="Char Char Char Char Char Char Char"/>
    <w:basedOn w:val="1"/>
    <w:qFormat/>
    <w:uiPriority w:val="0"/>
    <w:pPr>
      <w:tabs>
        <w:tab w:val="left" w:pos="432"/>
      </w:tabs>
      <w:ind w:left="432" w:hanging="432"/>
    </w:pPr>
    <w:rPr>
      <w:rFonts w:ascii="Tahoma" w:hAnsi="Tahoma"/>
      <w:szCs w:val="20"/>
    </w:rPr>
  </w:style>
  <w:style w:type="paragraph" w:customStyle="1" w:styleId="98">
    <w:name w:val="style6"/>
    <w:basedOn w:val="1"/>
    <w:qFormat/>
    <w:uiPriority w:val="0"/>
    <w:pPr>
      <w:spacing w:before="100" w:beforeAutospacing="1" w:after="100" w:afterAutospacing="1"/>
    </w:pPr>
    <w:rPr>
      <w:rFonts w:ascii="宋体" w:hAnsi="宋体" w:cs="宋体"/>
      <w:color w:val="CC3300"/>
    </w:rPr>
  </w:style>
  <w:style w:type="paragraph" w:customStyle="1" w:styleId="99">
    <w:name w:val="xl54"/>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rPr>
      <w:szCs w:val="21"/>
    </w:rPr>
  </w:style>
  <w:style w:type="paragraph" w:customStyle="1" w:styleId="100">
    <w:name w:val="正文 A"/>
    <w:next w:val="18"/>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10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02">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FFFFFF"/>
      <w:szCs w:val="21"/>
    </w:rPr>
  </w:style>
  <w:style w:type="paragraph" w:customStyle="1" w:styleId="103">
    <w:name w:val="标题4"/>
    <w:basedOn w:val="5"/>
    <w:qFormat/>
    <w:uiPriority w:val="0"/>
    <w:pPr>
      <w:spacing w:before="140" w:after="0"/>
    </w:pPr>
    <w:rPr>
      <w:rFonts w:ascii="黑体" w:hAnsi="宋体"/>
      <w:bCs w:val="0"/>
      <w:sz w:val="32"/>
      <w:szCs w:val="20"/>
    </w:rPr>
  </w:style>
  <w:style w:type="paragraph" w:customStyle="1" w:styleId="104">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05">
    <w:name w:val="列出段落4"/>
    <w:basedOn w:val="1"/>
    <w:qFormat/>
    <w:uiPriority w:val="0"/>
    <w:pPr>
      <w:ind w:firstLine="420" w:firstLineChars="200"/>
    </w:pPr>
  </w:style>
  <w:style w:type="paragraph" w:customStyle="1" w:styleId="106">
    <w:name w:val="xl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22"/>
      <w:szCs w:val="22"/>
    </w:rPr>
  </w:style>
  <w:style w:type="paragraph" w:customStyle="1" w:styleId="107">
    <w:name w:val="_Style 2"/>
    <w:basedOn w:val="1"/>
    <w:qFormat/>
    <w:uiPriority w:val="0"/>
    <w:pPr>
      <w:ind w:firstLine="420" w:firstLineChars="200"/>
    </w:pPr>
    <w:rPr>
      <w:rFonts w:ascii="Calibri" w:hAnsi="Calibri"/>
      <w:szCs w:val="22"/>
    </w:rPr>
  </w:style>
  <w:style w:type="paragraph" w:customStyle="1" w:styleId="108">
    <w:name w:val="font10"/>
    <w:basedOn w:val="1"/>
    <w:qFormat/>
    <w:uiPriority w:val="0"/>
    <w:pPr>
      <w:spacing w:before="100" w:beforeAutospacing="1" w:after="100" w:afterAutospacing="1"/>
    </w:pPr>
    <w:rPr>
      <w:rFonts w:hint="eastAsia" w:ascii="宋体" w:hAnsi="宋体"/>
      <w:sz w:val="20"/>
      <w:szCs w:val="20"/>
    </w:rPr>
  </w:style>
  <w:style w:type="paragraph" w:customStyle="1" w:styleId="109">
    <w:name w:val="默认段落字体 Para Char Char Char Char Char Char Char Char Char1 Char Char Char Char"/>
    <w:basedOn w:val="1"/>
    <w:qFormat/>
    <w:uiPriority w:val="0"/>
    <w:rPr>
      <w:rFonts w:ascii="Tahoma" w:hAnsi="Tahoma"/>
      <w:szCs w:val="20"/>
    </w:rPr>
  </w:style>
  <w:style w:type="paragraph" w:customStyle="1" w:styleId="110">
    <w:name w:val="Char Char1 Char Char Char Char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111">
    <w:name w:val="正文首行缩进两字符"/>
    <w:basedOn w:val="1"/>
    <w:qFormat/>
    <w:uiPriority w:val="0"/>
    <w:pPr>
      <w:spacing w:line="360" w:lineRule="auto"/>
      <w:ind w:firstLine="200" w:firstLineChars="200"/>
    </w:pPr>
  </w:style>
  <w:style w:type="paragraph" w:customStyle="1" w:styleId="112">
    <w:name w:val="xl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z w:val="16"/>
      <w:szCs w:val="16"/>
    </w:rPr>
  </w:style>
  <w:style w:type="paragraph" w:customStyle="1" w:styleId="113">
    <w:name w:val="xl65"/>
    <w:basedOn w:val="1"/>
    <w:qFormat/>
    <w:uiPriority w:val="0"/>
    <w:pPr>
      <w:pBdr>
        <w:bottom w:val="single" w:color="000000" w:sz="4" w:space="0"/>
        <w:right w:val="single" w:color="auto" w:sz="8" w:space="0"/>
      </w:pBdr>
      <w:spacing w:before="100" w:beforeAutospacing="1" w:after="100" w:afterAutospacing="1"/>
      <w:textAlignment w:val="center"/>
    </w:pPr>
    <w:rPr>
      <w:color w:val="FFFFFF"/>
      <w:szCs w:val="21"/>
    </w:rPr>
  </w:style>
  <w:style w:type="paragraph" w:customStyle="1" w:styleId="114">
    <w:name w:val="三级条标题"/>
    <w:basedOn w:val="115"/>
    <w:next w:val="66"/>
    <w:qFormat/>
    <w:uiPriority w:val="0"/>
    <w:pPr>
      <w:tabs>
        <w:tab w:val="left" w:pos="1680"/>
        <w:tab w:val="left" w:pos="2100"/>
      </w:tabs>
      <w:ind w:left="2100" w:hanging="420"/>
      <w:outlineLvl w:val="4"/>
    </w:pPr>
  </w:style>
  <w:style w:type="paragraph" w:customStyle="1" w:styleId="115">
    <w:name w:val="二级条标题"/>
    <w:basedOn w:val="116"/>
    <w:next w:val="66"/>
    <w:qFormat/>
    <w:uiPriority w:val="0"/>
    <w:pPr>
      <w:tabs>
        <w:tab w:val="left" w:pos="1680"/>
      </w:tabs>
      <w:ind w:left="1984" w:hanging="1984"/>
      <w:outlineLvl w:val="3"/>
    </w:pPr>
  </w:style>
  <w:style w:type="paragraph" w:customStyle="1" w:styleId="116">
    <w:name w:val="一级条标题"/>
    <w:next w:val="66"/>
    <w:qFormat/>
    <w:uiPriority w:val="0"/>
    <w:pPr>
      <w:outlineLvl w:val="2"/>
    </w:pPr>
    <w:rPr>
      <w:rFonts w:ascii="Times New Roman" w:hAnsi="Times New Roman" w:eastAsia="黑体" w:cs="Times New Roman"/>
      <w:sz w:val="21"/>
      <w:lang w:val="en-US" w:eastAsia="zh-CN" w:bidi="ar-SA"/>
    </w:rPr>
  </w:style>
  <w:style w:type="paragraph" w:customStyle="1" w:styleId="117">
    <w:name w:val="reader-word-layer"/>
    <w:basedOn w:val="1"/>
    <w:qFormat/>
    <w:uiPriority w:val="0"/>
    <w:pPr>
      <w:spacing w:before="100" w:beforeAutospacing="1" w:after="100" w:afterAutospacing="1" w:line="540" w:lineRule="exact"/>
      <w:ind w:firstLine="193" w:firstLineChars="193"/>
    </w:pPr>
    <w:rPr>
      <w:rFonts w:ascii="宋体" w:hAnsi="宋体" w:cs="宋体"/>
    </w:rPr>
  </w:style>
  <w:style w:type="paragraph" w:customStyle="1" w:styleId="118">
    <w:name w:val="xl47"/>
    <w:basedOn w:val="1"/>
    <w:qFormat/>
    <w:uiPriority w:val="0"/>
    <w:pPr>
      <w:pBdr>
        <w:top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19">
    <w:name w:val="Char Char Char Char Char Char Char1"/>
    <w:basedOn w:val="14"/>
    <w:qFormat/>
    <w:uiPriority w:val="0"/>
    <w:pPr>
      <w:shd w:val="clear" w:color="auto" w:fill="000080"/>
    </w:pPr>
    <w:rPr>
      <w:rFonts w:ascii="Tahoma" w:hAnsi="Tahoma"/>
      <w:sz w:val="24"/>
      <w:szCs w:val="24"/>
    </w:rPr>
  </w:style>
  <w:style w:type="paragraph" w:customStyle="1" w:styleId="120">
    <w:name w:val="（符号）二标题总则"/>
    <w:basedOn w:val="1"/>
    <w:qFormat/>
    <w:uiPriority w:val="0"/>
    <w:pPr>
      <w:spacing w:beforeLines="100" w:afterLines="100" w:line="500" w:lineRule="exact"/>
      <w:jc w:val="center"/>
      <w:outlineLvl w:val="1"/>
    </w:pPr>
    <w:rPr>
      <w:rFonts w:ascii="宋体" w:hAnsi="宋体" w:cs="宋体"/>
      <w:b/>
      <w:bCs/>
      <w:sz w:val="32"/>
      <w:szCs w:val="32"/>
    </w:rPr>
  </w:style>
  <w:style w:type="paragraph" w:customStyle="1" w:styleId="121">
    <w:name w:val="font5"/>
    <w:basedOn w:val="1"/>
    <w:qFormat/>
    <w:uiPriority w:val="0"/>
    <w:pPr>
      <w:spacing w:before="100" w:beforeAutospacing="1" w:after="100" w:afterAutospacing="1"/>
    </w:pPr>
    <w:rPr>
      <w:rFonts w:ascii="宋体" w:hAnsi="宋体" w:cs="宋体"/>
      <w:sz w:val="18"/>
      <w:szCs w:val="18"/>
    </w:rPr>
  </w:style>
  <w:style w:type="paragraph" w:customStyle="1" w:styleId="122">
    <w:name w:val="Char2 Char Char Char1"/>
    <w:basedOn w:val="1"/>
    <w:qFormat/>
    <w:uiPriority w:val="0"/>
    <w:rPr>
      <w:rFonts w:ascii="仿宋_GB2312" w:eastAsia="仿宋_GB2312"/>
      <w:b/>
      <w:sz w:val="32"/>
      <w:szCs w:val="32"/>
    </w:rPr>
  </w:style>
  <w:style w:type="paragraph" w:customStyle="1" w:styleId="123">
    <w:name w:val="标题0"/>
    <w:basedOn w:val="2"/>
    <w:qFormat/>
    <w:uiPriority w:val="0"/>
    <w:pPr>
      <w:tabs>
        <w:tab w:val="left" w:pos="0"/>
        <w:tab w:val="left" w:pos="432"/>
      </w:tabs>
      <w:ind w:left="420" w:hanging="420"/>
    </w:pPr>
  </w:style>
  <w:style w:type="paragraph" w:customStyle="1" w:styleId="124">
    <w:name w:val="Char Char1 Char Char Char Char Char Char Char Char Char Char1"/>
    <w:basedOn w:val="1"/>
    <w:qFormat/>
    <w:uiPriority w:val="0"/>
    <w:pPr>
      <w:tabs>
        <w:tab w:val="left" w:pos="360"/>
      </w:tabs>
      <w:ind w:firstLine="420" w:firstLineChars="150"/>
    </w:pPr>
    <w:rPr>
      <w:rFonts w:ascii="Arial" w:hAnsi="Arial" w:cs="Arial"/>
      <w:sz w:val="20"/>
      <w:szCs w:val="20"/>
    </w:rPr>
  </w:style>
  <w:style w:type="paragraph" w:customStyle="1" w:styleId="125">
    <w:name w:val="p0"/>
    <w:basedOn w:val="1"/>
    <w:qFormat/>
    <w:uiPriority w:val="0"/>
    <w:rPr>
      <w:szCs w:val="21"/>
    </w:rPr>
  </w:style>
  <w:style w:type="paragraph" w:customStyle="1" w:styleId="126">
    <w:name w:val="表"/>
    <w:basedOn w:val="1"/>
    <w:qFormat/>
    <w:uiPriority w:val="0"/>
    <w:pPr>
      <w:spacing w:before="60" w:after="60" w:line="360" w:lineRule="auto"/>
    </w:pPr>
    <w:rPr>
      <w:sz w:val="20"/>
      <w:szCs w:val="72"/>
    </w:rPr>
  </w:style>
  <w:style w:type="paragraph" w:customStyle="1" w:styleId="12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Cs w:val="24"/>
    </w:rPr>
  </w:style>
  <w:style w:type="paragraph" w:customStyle="1" w:styleId="128">
    <w:name w:val="样式 标题 3 + (中文) 黑体 小四 非加粗 段前: 7.8 磅 段后: 0 磅 行距: 固定值 20 磅"/>
    <w:basedOn w:val="4"/>
    <w:next w:val="1"/>
    <w:qFormat/>
    <w:uiPriority w:val="0"/>
    <w:pPr>
      <w:tabs>
        <w:tab w:val="left" w:pos="720"/>
      </w:tabs>
      <w:spacing w:before="0" w:after="0" w:line="400" w:lineRule="exact"/>
    </w:pPr>
    <w:rPr>
      <w:rFonts w:eastAsia="黑体" w:cs="宋体"/>
      <w:b w:val="0"/>
      <w:bCs w:val="0"/>
      <w:sz w:val="24"/>
      <w:szCs w:val="24"/>
    </w:rPr>
  </w:style>
  <w:style w:type="paragraph" w:customStyle="1" w:styleId="129">
    <w:name w:val="Char Char Char Char Char Char1 Char"/>
    <w:basedOn w:val="14"/>
    <w:qFormat/>
    <w:uiPriority w:val="0"/>
    <w:pPr>
      <w:shd w:val="clear" w:color="auto" w:fill="000080"/>
    </w:pPr>
    <w:rPr>
      <w:rFonts w:ascii="Tahoma" w:hAnsi="Tahoma"/>
      <w:sz w:val="24"/>
      <w:szCs w:val="24"/>
    </w:rPr>
  </w:style>
  <w:style w:type="paragraph" w:styleId="130">
    <w:name w:val="List Paragraph"/>
    <w:basedOn w:val="1"/>
    <w:qFormat/>
    <w:uiPriority w:val="99"/>
    <w:pPr>
      <w:ind w:left="720"/>
      <w:contextualSpacing/>
    </w:pPr>
  </w:style>
  <w:style w:type="paragraph" w:customStyle="1" w:styleId="131">
    <w:name w:val="plaintext"/>
    <w:basedOn w:val="1"/>
    <w:qFormat/>
    <w:uiPriority w:val="0"/>
    <w:pPr>
      <w:spacing w:before="100" w:beforeAutospacing="1" w:after="100" w:afterAutospacing="1"/>
    </w:pPr>
    <w:rPr>
      <w:rFonts w:ascii="宋体" w:hAnsi="宋体"/>
    </w:rPr>
  </w:style>
  <w:style w:type="paragraph" w:customStyle="1" w:styleId="132">
    <w:name w:val="xl37"/>
    <w:basedOn w:val="1"/>
    <w:qFormat/>
    <w:uiPriority w:val="0"/>
    <w:pP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33">
    <w:name w:val="xl45"/>
    <w:basedOn w:val="1"/>
    <w:qFormat/>
    <w:uiPriority w:val="0"/>
    <w:pPr>
      <w:pBdr>
        <w:top w:val="single" w:color="auto" w:sz="4" w:space="0"/>
        <w:left w:val="single" w:color="auto" w:sz="4" w:space="0"/>
        <w:bottom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34">
    <w:name w:val="tgt"/>
    <w:basedOn w:val="1"/>
    <w:qFormat/>
    <w:uiPriority w:val="0"/>
    <w:pPr>
      <w:spacing w:before="100" w:beforeAutospacing="1" w:after="100" w:afterAutospacing="1"/>
    </w:pPr>
    <w:rPr>
      <w:rFonts w:ascii="宋体" w:hAnsi="宋体" w:cs="宋体"/>
    </w:rPr>
  </w:style>
  <w:style w:type="paragraph" w:customStyle="1" w:styleId="135">
    <w:name w:val="Char"/>
    <w:basedOn w:val="1"/>
    <w:qFormat/>
    <w:uiPriority w:val="0"/>
    <w:pPr>
      <w:tabs>
        <w:tab w:val="left" w:pos="360"/>
      </w:tabs>
      <w:spacing w:line="360" w:lineRule="auto"/>
      <w:ind w:left="482" w:firstLine="200" w:firstLineChars="200"/>
    </w:pPr>
    <w:rPr>
      <w:rFonts w:ascii="宋体"/>
    </w:rPr>
  </w:style>
  <w:style w:type="paragraph" w:customStyle="1" w:styleId="136">
    <w:name w:val="xl67"/>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top"/>
    </w:pPr>
    <w:rPr>
      <w:color w:val="FFFFFF"/>
      <w:szCs w:val="21"/>
    </w:rPr>
  </w:style>
  <w:style w:type="paragraph" w:customStyle="1" w:styleId="137">
    <w:name w:val="font6"/>
    <w:basedOn w:val="1"/>
    <w:qFormat/>
    <w:uiPriority w:val="0"/>
    <w:pPr>
      <w:spacing w:before="100" w:beforeAutospacing="1" w:after="100" w:afterAutospacing="1"/>
    </w:pPr>
    <w:rPr>
      <w:rFonts w:ascii="宋体" w:hAnsi="宋体" w:cs="宋体"/>
      <w:sz w:val="20"/>
      <w:szCs w:val="20"/>
    </w:rPr>
  </w:style>
  <w:style w:type="paragraph" w:customStyle="1" w:styleId="138">
    <w:name w:val="LJT正文"/>
    <w:basedOn w:val="19"/>
    <w:qFormat/>
    <w:uiPriority w:val="0"/>
    <w:pPr>
      <w:spacing w:before="120" w:after="0"/>
      <w:ind w:left="0" w:leftChars="0" w:firstLine="425"/>
    </w:pPr>
    <w:rPr>
      <w:rFonts w:ascii="Arial" w:hAnsi="Arial"/>
      <w:sz w:val="24"/>
      <w:szCs w:val="20"/>
    </w:rPr>
  </w:style>
  <w:style w:type="paragraph" w:customStyle="1" w:styleId="139">
    <w:name w:val="Char Char Char Char"/>
    <w:basedOn w:val="1"/>
    <w:qFormat/>
    <w:uiPriority w:val="0"/>
    <w:pPr>
      <w:spacing w:before="100" w:beforeAutospacing="1" w:after="100" w:afterAutospacing="1" w:line="360" w:lineRule="auto"/>
    </w:pPr>
    <w:rPr>
      <w:rFonts w:ascii="Verdana" w:hAnsi="Verdana"/>
      <w:sz w:val="20"/>
      <w:szCs w:val="21"/>
      <w:lang w:eastAsia="en-US"/>
    </w:rPr>
  </w:style>
  <w:style w:type="paragraph" w:customStyle="1" w:styleId="140">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sz w:val="22"/>
      <w:szCs w:val="22"/>
    </w:rPr>
  </w:style>
  <w:style w:type="paragraph" w:customStyle="1" w:styleId="141">
    <w:name w:val="附件正文"/>
    <w:basedOn w:val="1"/>
    <w:qFormat/>
    <w:uiPriority w:val="0"/>
    <w:pPr>
      <w:snapToGrid w:val="0"/>
      <w:spacing w:line="500" w:lineRule="exact"/>
      <w:ind w:firstLine="480" w:firstLineChars="200"/>
    </w:pPr>
  </w:style>
  <w:style w:type="paragraph" w:customStyle="1" w:styleId="142">
    <w:name w:val="font8"/>
    <w:basedOn w:val="1"/>
    <w:qFormat/>
    <w:uiPriority w:val="0"/>
    <w:pPr>
      <w:spacing w:before="100" w:beforeAutospacing="1" w:after="100" w:afterAutospacing="1"/>
    </w:pPr>
    <w:rPr>
      <w:sz w:val="36"/>
      <w:szCs w:val="36"/>
    </w:rPr>
  </w:style>
  <w:style w:type="paragraph" w:customStyle="1" w:styleId="143">
    <w:name w:val="样式 首行缩进:  2 字符"/>
    <w:basedOn w:val="1"/>
    <w:qFormat/>
    <w:uiPriority w:val="0"/>
    <w:pPr>
      <w:spacing w:line="400" w:lineRule="exact"/>
      <w:ind w:firstLine="200" w:firstLineChars="200"/>
    </w:pPr>
    <w:rPr>
      <w:rFonts w:cs="宋体"/>
    </w:rPr>
  </w:style>
  <w:style w:type="paragraph" w:customStyle="1" w:styleId="144">
    <w:name w:val="xl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sz w:val="20"/>
      <w:szCs w:val="20"/>
    </w:rPr>
  </w:style>
  <w:style w:type="paragraph" w:customStyle="1" w:styleId="145">
    <w:name w:val="正文文本缩进[858D7CFB-ED40-4347-BF05-701D383B685F][858D7CFB-ED40-4347-BF05-701D383B685F]"/>
    <w:basedOn w:val="1"/>
    <w:qFormat/>
    <w:uiPriority w:val="0"/>
    <w:pPr>
      <w:spacing w:line="312" w:lineRule="atLeast"/>
      <w:ind w:firstLine="630"/>
      <w:textAlignment w:val="baseline"/>
    </w:pPr>
    <w:rPr>
      <w:sz w:val="32"/>
      <w:szCs w:val="20"/>
    </w:rPr>
  </w:style>
  <w:style w:type="paragraph" w:customStyle="1" w:styleId="146">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FFFFFF"/>
      <w:szCs w:val="21"/>
    </w:rPr>
  </w:style>
  <w:style w:type="paragraph" w:customStyle="1" w:styleId="147">
    <w:name w:val="Char Char"/>
    <w:basedOn w:val="1"/>
    <w:qFormat/>
    <w:uiPriority w:val="0"/>
  </w:style>
  <w:style w:type="paragraph" w:customStyle="1" w:styleId="14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9">
    <w:name w:val="菲页1"/>
    <w:basedOn w:val="3"/>
    <w:qFormat/>
    <w:uiPriority w:val="0"/>
    <w:rPr>
      <w:rFonts w:ascii="黑体" w:hAnsi="宋体"/>
      <w:b w:val="0"/>
      <w:bCs w:val="0"/>
      <w:sz w:val="52"/>
      <w:szCs w:val="20"/>
    </w:rPr>
  </w:style>
  <w:style w:type="paragraph" w:customStyle="1" w:styleId="150">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1">
    <w:name w:val="xl66"/>
    <w:basedOn w:val="1"/>
    <w:qFormat/>
    <w:uiPriority w:val="0"/>
    <w:pPr>
      <w:pBdr>
        <w:right w:val="single" w:color="000000" w:sz="4" w:space="0"/>
      </w:pBdr>
      <w:spacing w:before="100" w:beforeAutospacing="1" w:after="100" w:afterAutospacing="1"/>
      <w:jc w:val="right"/>
      <w:textAlignment w:val="center"/>
    </w:pPr>
    <w:rPr>
      <w:color w:val="FFFFFF"/>
      <w:szCs w:val="21"/>
    </w:rPr>
  </w:style>
  <w:style w:type="paragraph" w:customStyle="1" w:styleId="152">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color w:val="000000"/>
      <w:sz w:val="20"/>
      <w:szCs w:val="20"/>
    </w:rPr>
  </w:style>
  <w:style w:type="paragraph" w:customStyle="1" w:styleId="153">
    <w:name w:val="Char Char Char Char1"/>
    <w:basedOn w:val="1"/>
    <w:qFormat/>
    <w:uiPriority w:val="0"/>
    <w:pPr>
      <w:spacing w:before="100" w:beforeAutospacing="1" w:after="100" w:afterAutospacing="1" w:line="360" w:lineRule="auto"/>
    </w:pPr>
    <w:rPr>
      <w:rFonts w:ascii="Verdana" w:hAnsi="Verdana"/>
      <w:sz w:val="20"/>
      <w:szCs w:val="21"/>
      <w:lang w:eastAsia="en-US"/>
    </w:rPr>
  </w:style>
  <w:style w:type="paragraph" w:customStyle="1" w:styleId="154">
    <w:name w:val="Char Char Char"/>
    <w:basedOn w:val="1"/>
    <w:qFormat/>
    <w:uiPriority w:val="0"/>
    <w:pPr>
      <w:spacing w:after="160" w:line="240" w:lineRule="exact"/>
    </w:pPr>
    <w:rPr>
      <w:rFonts w:ascii="Verdana" w:hAnsi="Verdana"/>
      <w:sz w:val="20"/>
      <w:szCs w:val="20"/>
      <w:lang w:eastAsia="en-US"/>
    </w:rPr>
  </w:style>
  <w:style w:type="paragraph" w:customStyle="1" w:styleId="155">
    <w:name w:val="xl58"/>
    <w:basedOn w:val="1"/>
    <w:qFormat/>
    <w:uiPriority w:val="0"/>
    <w:pPr>
      <w:pBdr>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szCs w:val="21"/>
    </w:rPr>
  </w:style>
  <w:style w:type="paragraph" w:customStyle="1" w:styleId="156">
    <w:name w:val="List Paragraph11"/>
    <w:basedOn w:val="1"/>
    <w:qFormat/>
    <w:uiPriority w:val="34"/>
    <w:pPr>
      <w:ind w:firstLine="420" w:firstLineChars="200"/>
    </w:pPr>
  </w:style>
  <w:style w:type="paragraph" w:customStyle="1" w:styleId="157">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158">
    <w:name w:val="正文序号 1"/>
    <w:basedOn w:val="1"/>
    <w:qFormat/>
    <w:uiPriority w:val="0"/>
    <w:pPr>
      <w:spacing w:before="60"/>
    </w:pPr>
    <w:rPr>
      <w:szCs w:val="20"/>
    </w:rPr>
  </w:style>
  <w:style w:type="paragraph" w:customStyle="1" w:styleId="159">
    <w:name w:val="正文缩进1"/>
    <w:basedOn w:val="1"/>
    <w:next w:val="1"/>
    <w:qFormat/>
    <w:uiPriority w:val="0"/>
    <w:pPr>
      <w:ind w:firstLine="420"/>
    </w:pPr>
    <w:rPr>
      <w:color w:val="000000"/>
      <w:szCs w:val="20"/>
    </w:rPr>
  </w:style>
  <w:style w:type="paragraph" w:customStyle="1" w:styleId="160">
    <w:name w:val="Char Char1 Char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61">
    <w:name w:val="p5"/>
    <w:basedOn w:val="1"/>
    <w:qFormat/>
    <w:uiPriority w:val="0"/>
    <w:pPr>
      <w:tabs>
        <w:tab w:val="left" w:pos="720"/>
      </w:tabs>
      <w:spacing w:line="240" w:lineRule="atLeast"/>
    </w:pPr>
    <w:rPr>
      <w:snapToGrid w:val="0"/>
      <w:szCs w:val="20"/>
      <w:lang w:val="en-GB" w:eastAsia="de-DE"/>
    </w:rPr>
  </w:style>
  <w:style w:type="paragraph" w:customStyle="1" w:styleId="162">
    <w:name w:val="xl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sz w:val="32"/>
      <w:szCs w:val="32"/>
    </w:rPr>
  </w:style>
  <w:style w:type="paragraph" w:customStyle="1" w:styleId="163">
    <w:name w:val="文档正文"/>
    <w:basedOn w:val="1"/>
    <w:qFormat/>
    <w:uiPriority w:val="0"/>
    <w:pPr>
      <w:spacing w:line="440" w:lineRule="atLeast"/>
      <w:ind w:firstLine="567"/>
    </w:pPr>
    <w:rPr>
      <w:spacing w:val="4"/>
    </w:rPr>
  </w:style>
  <w:style w:type="paragraph" w:customStyle="1" w:styleId="164">
    <w:name w:val="10 f"/>
    <w:basedOn w:val="1"/>
    <w:qFormat/>
    <w:uiPriority w:val="0"/>
    <w:pPr>
      <w:tabs>
        <w:tab w:val="left" w:pos="2835"/>
        <w:tab w:val="left" w:pos="3119"/>
        <w:tab w:val="left" w:pos="3402"/>
        <w:tab w:val="left" w:pos="3686"/>
        <w:tab w:val="left" w:pos="3969"/>
        <w:tab w:val="left" w:pos="4253"/>
      </w:tabs>
      <w:spacing w:after="120"/>
      <w:ind w:left="2552"/>
    </w:pPr>
    <w:rPr>
      <w:rFonts w:ascii="Syntax" w:hAnsi="Syntax"/>
      <w:b/>
      <w:sz w:val="20"/>
      <w:szCs w:val="20"/>
      <w:lang w:val="de-DE" w:eastAsia="de-DE"/>
    </w:rPr>
  </w:style>
  <w:style w:type="paragraph" w:customStyle="1" w:styleId="165">
    <w:name w:val="xl64"/>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textAlignment w:val="center"/>
    </w:pPr>
    <w:rPr>
      <w:rFonts w:ascii="宋体" w:hAnsi="宋体"/>
      <w:sz w:val="18"/>
      <w:szCs w:val="18"/>
    </w:rPr>
  </w:style>
  <w:style w:type="paragraph" w:customStyle="1" w:styleId="166">
    <w:name w:val="xl41"/>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167">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sz w:val="20"/>
      <w:szCs w:val="20"/>
    </w:rPr>
  </w:style>
  <w:style w:type="paragraph" w:customStyle="1" w:styleId="168">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69">
    <w:name w:val="正文1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170">
    <w:name w:val="列出段落1"/>
    <w:basedOn w:val="1"/>
    <w:qFormat/>
    <w:uiPriority w:val="34"/>
    <w:pPr>
      <w:ind w:firstLine="420" w:firstLineChars="200"/>
    </w:pPr>
  </w:style>
  <w:style w:type="paragraph" w:customStyle="1" w:styleId="171">
    <w:name w:val="Char Char1"/>
    <w:basedOn w:val="1"/>
    <w:qFormat/>
    <w:uiPriority w:val="0"/>
  </w:style>
  <w:style w:type="paragraph" w:customStyle="1" w:styleId="172">
    <w:name w:val="Char Char Char Char Char Char1 Char1"/>
    <w:basedOn w:val="14"/>
    <w:qFormat/>
    <w:uiPriority w:val="0"/>
    <w:pPr>
      <w:shd w:val="clear" w:color="auto" w:fill="000080"/>
    </w:pPr>
    <w:rPr>
      <w:rFonts w:ascii="Tahoma" w:hAnsi="Tahoma"/>
      <w:sz w:val="24"/>
      <w:szCs w:val="24"/>
    </w:rPr>
  </w:style>
  <w:style w:type="paragraph" w:customStyle="1" w:styleId="173">
    <w:name w:val="_Style 5"/>
    <w:basedOn w:val="1"/>
    <w:qFormat/>
    <w:uiPriority w:val="0"/>
    <w:rPr>
      <w:szCs w:val="20"/>
    </w:rPr>
  </w:style>
  <w:style w:type="paragraph" w:customStyle="1" w:styleId="174">
    <w:name w:val="Char Char1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75">
    <w:name w:val="xl57"/>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szCs w:val="21"/>
    </w:rPr>
  </w:style>
  <w:style w:type="paragraph" w:customStyle="1" w:styleId="176">
    <w:name w:val="_Style 172"/>
    <w:unhideWhenUsed/>
    <w:qFormat/>
    <w:uiPriority w:val="0"/>
    <w:rPr>
      <w:rFonts w:ascii="Times New Roman" w:hAnsi="Times New Roman" w:eastAsia="宋体" w:cs="Times New Roman"/>
      <w:kern w:val="2"/>
      <w:sz w:val="21"/>
      <w:szCs w:val="24"/>
      <w:lang w:val="en-US" w:eastAsia="zh-CN" w:bidi="ar-SA"/>
    </w:rPr>
  </w:style>
  <w:style w:type="paragraph" w:customStyle="1" w:styleId="177">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78">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79">
    <w:name w:val="样式2"/>
    <w:basedOn w:val="1"/>
    <w:qFormat/>
    <w:uiPriority w:val="0"/>
    <w:pPr>
      <w:adjustRightInd w:val="0"/>
      <w:spacing w:line="410" w:lineRule="atLeast"/>
      <w:textAlignment w:val="baseline"/>
    </w:pPr>
    <w:rPr>
      <w:szCs w:val="20"/>
    </w:rPr>
  </w:style>
  <w:style w:type="paragraph" w:customStyle="1" w:styleId="180">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z w:val="20"/>
      <w:szCs w:val="20"/>
    </w:rPr>
  </w:style>
  <w:style w:type="paragraph" w:customStyle="1" w:styleId="181">
    <w:name w:val="_Style 1"/>
    <w:basedOn w:val="1"/>
    <w:qFormat/>
    <w:uiPriority w:val="0"/>
    <w:pPr>
      <w:ind w:firstLine="420" w:firstLineChars="200"/>
    </w:pPr>
    <w:rPr>
      <w:rFonts w:ascii="Calibri" w:hAnsi="Calibri"/>
    </w:rPr>
  </w:style>
  <w:style w:type="paragraph" w:customStyle="1" w:styleId="182">
    <w:name w:val="font9"/>
    <w:basedOn w:val="1"/>
    <w:qFormat/>
    <w:uiPriority w:val="0"/>
    <w:pPr>
      <w:spacing w:before="100" w:beforeAutospacing="1" w:after="100" w:afterAutospacing="1"/>
    </w:pPr>
    <w:rPr>
      <w:rFonts w:hint="eastAsia" w:ascii="宋体" w:hAnsi="宋体" w:cs="Arial Unicode MS"/>
      <w:color w:val="000000"/>
      <w:sz w:val="20"/>
      <w:szCs w:val="20"/>
    </w:rPr>
  </w:style>
  <w:style w:type="paragraph" w:customStyle="1" w:styleId="183">
    <w:name w:val="样式 行距: 固定值 25 磅 首行缩进:  2 字符"/>
    <w:basedOn w:val="1"/>
    <w:qFormat/>
    <w:uiPriority w:val="0"/>
    <w:pPr>
      <w:adjustRightInd w:val="0"/>
      <w:spacing w:line="500" w:lineRule="exact"/>
      <w:ind w:firstLine="560" w:firstLineChars="200"/>
      <w:textAlignment w:val="baseline"/>
    </w:pPr>
    <w:rPr>
      <w:sz w:val="28"/>
      <w:szCs w:val="28"/>
    </w:rPr>
  </w:style>
  <w:style w:type="paragraph" w:customStyle="1" w:styleId="184">
    <w:name w:val="列出段落2"/>
    <w:basedOn w:val="1"/>
    <w:qFormat/>
    <w:uiPriority w:val="99"/>
    <w:pPr>
      <w:ind w:firstLine="420" w:firstLineChars="200"/>
    </w:pPr>
  </w:style>
  <w:style w:type="paragraph" w:customStyle="1" w:styleId="185">
    <w:name w:val="font7"/>
    <w:basedOn w:val="1"/>
    <w:qFormat/>
    <w:uiPriority w:val="0"/>
    <w:pPr>
      <w:spacing w:before="100" w:beforeAutospacing="1" w:after="100" w:afterAutospacing="1"/>
    </w:pPr>
    <w:rPr>
      <w:rFonts w:eastAsia="Arial Unicode MS"/>
      <w:b/>
      <w:bCs/>
      <w:color w:val="000000"/>
      <w:sz w:val="20"/>
      <w:szCs w:val="20"/>
    </w:rPr>
  </w:style>
  <w:style w:type="paragraph" w:customStyle="1" w:styleId="186">
    <w:name w:val="列出段落11"/>
    <w:basedOn w:val="1"/>
    <w:qFormat/>
    <w:uiPriority w:val="0"/>
    <w:pPr>
      <w:ind w:firstLine="420" w:firstLineChars="200"/>
    </w:pPr>
  </w:style>
  <w:style w:type="paragraph" w:customStyle="1" w:styleId="187">
    <w:name w:val="表格内文"/>
    <w:basedOn w:val="1"/>
    <w:qFormat/>
    <w:uiPriority w:val="0"/>
    <w:rPr>
      <w:rFonts w:cs="宋体"/>
      <w:szCs w:val="20"/>
    </w:rPr>
  </w:style>
  <w:style w:type="paragraph" w:customStyle="1" w:styleId="188">
    <w:name w:val="xl46"/>
    <w:basedOn w:val="1"/>
    <w:qFormat/>
    <w:uiPriority w:val="0"/>
    <w:pPr>
      <w:pBdr>
        <w:top w:val="single" w:color="auto" w:sz="4" w:space="0"/>
        <w:bottom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89">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16"/>
      <w:szCs w:val="16"/>
    </w:rPr>
  </w:style>
  <w:style w:type="paragraph" w:customStyle="1" w:styleId="19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sz w:val="20"/>
      <w:szCs w:val="20"/>
    </w:rPr>
  </w:style>
  <w:style w:type="paragraph" w:customStyle="1" w:styleId="191">
    <w:name w:val="xl43"/>
    <w:basedOn w:val="1"/>
    <w:qFormat/>
    <w:uiPriority w:val="0"/>
    <w:pPr>
      <w:pBdr>
        <w:top w:val="single" w:color="auto" w:sz="4" w:space="0"/>
        <w:left w:val="single" w:color="auto" w:sz="4" w:space="0"/>
        <w:bottom w:val="single" w:color="auto" w:sz="4" w:space="0"/>
      </w:pBd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92">
    <w:name w:val="xl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sz w:val="22"/>
      <w:szCs w:val="22"/>
    </w:rPr>
  </w:style>
  <w:style w:type="paragraph" w:customStyle="1" w:styleId="193">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sz w:val="20"/>
      <w:szCs w:val="20"/>
    </w:rPr>
  </w:style>
  <w:style w:type="paragraph" w:customStyle="1" w:styleId="194">
    <w:name w:val="Char11"/>
    <w:basedOn w:val="1"/>
    <w:qFormat/>
    <w:uiPriority w:val="0"/>
    <w:rPr>
      <w:rFonts w:ascii="仿宋_GB2312" w:eastAsia="仿宋_GB2312"/>
      <w:b/>
      <w:sz w:val="32"/>
      <w:szCs w:val="32"/>
    </w:rPr>
  </w:style>
  <w:style w:type="paragraph" w:customStyle="1" w:styleId="195">
    <w:name w:val="Char2"/>
    <w:basedOn w:val="1"/>
    <w:qFormat/>
    <w:uiPriority w:val="0"/>
    <w:pPr>
      <w:adjustRightInd w:val="0"/>
      <w:spacing w:line="360" w:lineRule="auto"/>
    </w:pPr>
    <w:rPr>
      <w:szCs w:val="20"/>
    </w:rPr>
  </w:style>
  <w:style w:type="paragraph" w:customStyle="1" w:styleId="196">
    <w:name w:val="菲页2"/>
    <w:basedOn w:val="4"/>
    <w:qFormat/>
    <w:uiPriority w:val="0"/>
    <w:pPr>
      <w:tabs>
        <w:tab w:val="left" w:pos="1000"/>
      </w:tabs>
      <w:spacing w:before="120" w:after="120" w:line="360" w:lineRule="auto"/>
      <w:ind w:left="1000" w:hanging="1000"/>
      <w:jc w:val="center"/>
    </w:pPr>
    <w:rPr>
      <w:rFonts w:ascii="黑体" w:hAnsi="宋体" w:eastAsia="黑体"/>
      <w:b w:val="0"/>
      <w:bCs w:val="0"/>
      <w:sz w:val="44"/>
      <w:szCs w:val="20"/>
    </w:rPr>
  </w:style>
  <w:style w:type="paragraph" w:customStyle="1" w:styleId="197">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sz w:val="20"/>
      <w:szCs w:val="20"/>
    </w:rPr>
  </w:style>
  <w:style w:type="paragraph" w:customStyle="1" w:styleId="198">
    <w:name w:val="标题5"/>
    <w:basedOn w:val="6"/>
    <w:next w:val="6"/>
    <w:qFormat/>
    <w:uiPriority w:val="0"/>
    <w:pPr>
      <w:spacing w:before="0" w:after="0" w:line="300" w:lineRule="exact"/>
      <w:ind w:firstLine="630" w:firstLineChars="300"/>
    </w:pPr>
    <w:rPr>
      <w:b w:val="0"/>
      <w:bCs w:val="0"/>
      <w:color w:val="000000"/>
      <w:sz w:val="21"/>
      <w:szCs w:val="32"/>
    </w:rPr>
  </w:style>
  <w:style w:type="paragraph" w:customStyle="1" w:styleId="199">
    <w:name w:val="Table Text"/>
    <w:basedOn w:val="1"/>
    <w:qFormat/>
    <w:uiPriority w:val="0"/>
    <w:pPr>
      <w:spacing w:before="60" w:after="60"/>
    </w:pPr>
  </w:style>
  <w:style w:type="paragraph" w:customStyle="1" w:styleId="200">
    <w:name w:val="table head"/>
    <w:basedOn w:val="1"/>
    <w:qFormat/>
    <w:uiPriority w:val="0"/>
    <w:pPr>
      <w:keepNext/>
      <w:keepLines/>
      <w:adjustRightInd w:val="0"/>
      <w:spacing w:line="312" w:lineRule="atLeast"/>
      <w:jc w:val="center"/>
      <w:textAlignment w:val="baseline"/>
    </w:pPr>
    <w:rPr>
      <w:b/>
      <w:szCs w:val="20"/>
    </w:rPr>
  </w:style>
  <w:style w:type="paragraph" w:customStyle="1" w:styleId="201">
    <w:name w:val="xl36"/>
    <w:basedOn w:val="1"/>
    <w:qFormat/>
    <w:uiPriority w:val="0"/>
    <w:pP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202">
    <w:name w:val="xl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z w:val="20"/>
      <w:szCs w:val="20"/>
    </w:rPr>
  </w:style>
  <w:style w:type="paragraph" w:customStyle="1" w:styleId="203">
    <w:name w:val="xl5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Cs w:val="21"/>
    </w:rPr>
  </w:style>
  <w:style w:type="paragraph" w:customStyle="1" w:styleId="204">
    <w:name w:val="List Paragraph1"/>
    <w:basedOn w:val="1"/>
    <w:qFormat/>
    <w:uiPriority w:val="0"/>
    <w:pPr>
      <w:ind w:firstLine="420" w:firstLineChars="200"/>
    </w:pPr>
    <w:rPr>
      <w:rFonts w:ascii="宋体" w:cs="宋体"/>
      <w:sz w:val="32"/>
      <w:szCs w:val="32"/>
    </w:rPr>
  </w:style>
  <w:style w:type="paragraph" w:customStyle="1" w:styleId="205">
    <w:name w:val="p15"/>
    <w:basedOn w:val="1"/>
    <w:qFormat/>
    <w:uiPriority w:val="0"/>
    <w:rPr>
      <w:rFonts w:ascii="Calibri" w:hAnsi="Calibri" w:cs="宋体"/>
      <w:szCs w:val="21"/>
    </w:rPr>
  </w:style>
  <w:style w:type="paragraph" w:customStyle="1" w:styleId="206">
    <w:name w:val="Char Char Char1"/>
    <w:basedOn w:val="1"/>
    <w:qFormat/>
    <w:uiPriority w:val="0"/>
    <w:pPr>
      <w:spacing w:after="160" w:line="240" w:lineRule="exact"/>
    </w:pPr>
    <w:rPr>
      <w:rFonts w:ascii="Verdana" w:hAnsi="Verdana"/>
      <w:sz w:val="20"/>
      <w:szCs w:val="20"/>
      <w:lang w:eastAsia="en-US"/>
    </w:rPr>
  </w:style>
  <w:style w:type="paragraph" w:customStyle="1" w:styleId="207">
    <w:name w:val="标题3"/>
    <w:basedOn w:val="4"/>
    <w:qFormat/>
    <w:uiPriority w:val="0"/>
    <w:pPr>
      <w:spacing w:line="413" w:lineRule="auto"/>
    </w:pPr>
    <w:rPr>
      <w:rFonts w:ascii="宋体" w:hAnsi="宋体"/>
      <w:sz w:val="28"/>
      <w:szCs w:val="28"/>
    </w:rPr>
  </w:style>
  <w:style w:type="paragraph" w:customStyle="1" w:styleId="208">
    <w:name w:val="Char1 Char Char Char Char Char Char"/>
    <w:basedOn w:val="1"/>
    <w:qFormat/>
    <w:uiPriority w:val="0"/>
    <w:rPr>
      <w:szCs w:val="20"/>
    </w:rPr>
  </w:style>
  <w:style w:type="paragraph" w:customStyle="1" w:styleId="209">
    <w:name w:val="目录标题"/>
    <w:basedOn w:val="2"/>
    <w:next w:val="1"/>
    <w:qFormat/>
    <w:uiPriority w:val="39"/>
    <w:pPr>
      <w:outlineLvl w:val="9"/>
    </w:pPr>
  </w:style>
  <w:style w:type="paragraph" w:customStyle="1" w:styleId="210">
    <w:name w:val="正文5"/>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21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12">
    <w:name w:val="_Style 6"/>
    <w:basedOn w:val="1"/>
    <w:qFormat/>
    <w:uiPriority w:val="34"/>
    <w:pPr>
      <w:ind w:firstLine="420" w:firstLineChars="200"/>
    </w:pPr>
    <w:rPr>
      <w:sz w:val="18"/>
      <w:szCs w:val="18"/>
    </w:rPr>
  </w:style>
  <w:style w:type="paragraph" w:customStyle="1" w:styleId="213">
    <w:name w:val="(符号)三标题1.1"/>
    <w:basedOn w:val="1"/>
    <w:qFormat/>
    <w:uiPriority w:val="99"/>
    <w:pPr>
      <w:tabs>
        <w:tab w:val="left" w:pos="420"/>
      </w:tabs>
      <w:spacing w:before="140" w:after="140" w:line="500" w:lineRule="exact"/>
      <w:ind w:left="430" w:hanging="430"/>
      <w:outlineLvl w:val="2"/>
    </w:pPr>
    <w:rPr>
      <w:rFonts w:ascii="楷体_GB2312" w:hAnsi="宋体" w:eastAsia="楷体_GB2312" w:cs="宋体"/>
      <w:b/>
      <w:bCs/>
      <w:sz w:val="28"/>
      <w:szCs w:val="20"/>
    </w:rPr>
  </w:style>
  <w:style w:type="paragraph" w:customStyle="1" w:styleId="214">
    <w:name w:val="目录"/>
    <w:basedOn w:val="1"/>
    <w:qFormat/>
    <w:uiPriority w:val="0"/>
    <w:pPr>
      <w:jc w:val="center"/>
    </w:pPr>
    <w:rPr>
      <w:rFonts w:ascii="宋体"/>
      <w:b/>
      <w:sz w:val="36"/>
      <w:szCs w:val="20"/>
    </w:rPr>
  </w:style>
  <w:style w:type="paragraph" w:customStyle="1" w:styleId="215">
    <w:name w:val="Char Char1 Char Char Char Char Char Char1"/>
    <w:basedOn w:val="1"/>
    <w:qFormat/>
    <w:uiPriority w:val="0"/>
    <w:pPr>
      <w:spacing w:after="160" w:line="240" w:lineRule="exact"/>
    </w:pPr>
    <w:rPr>
      <w:rFonts w:ascii="Verdana" w:hAnsi="Verdana" w:eastAsia="仿宋_GB2312"/>
      <w:szCs w:val="20"/>
      <w:lang w:eastAsia="en-US"/>
    </w:rPr>
  </w:style>
  <w:style w:type="paragraph" w:customStyle="1" w:styleId="216">
    <w:name w:val="正文文本 21"/>
    <w:basedOn w:val="1"/>
    <w:qFormat/>
    <w:uiPriority w:val="0"/>
    <w:pPr>
      <w:adjustRightInd w:val="0"/>
      <w:spacing w:line="300" w:lineRule="auto"/>
      <w:jc w:val="center"/>
      <w:textAlignment w:val="baseline"/>
    </w:pPr>
    <w:rPr>
      <w:rFonts w:ascii="宋体" w:hAnsi="宋体"/>
      <w:szCs w:val="20"/>
    </w:rPr>
  </w:style>
  <w:style w:type="paragraph" w:customStyle="1" w:styleId="217">
    <w:name w:val="正文文本 22"/>
    <w:basedOn w:val="1"/>
    <w:qFormat/>
    <w:uiPriority w:val="0"/>
    <w:pPr>
      <w:adjustRightInd w:val="0"/>
      <w:spacing w:line="300" w:lineRule="auto"/>
      <w:jc w:val="center"/>
      <w:textAlignment w:val="baseline"/>
    </w:pPr>
    <w:rPr>
      <w:rFonts w:ascii="宋体" w:hAnsi="宋体"/>
      <w:szCs w:val="20"/>
    </w:rPr>
  </w:style>
  <w:style w:type="paragraph" w:customStyle="1" w:styleId="218">
    <w:name w:val="目录文字"/>
    <w:basedOn w:val="1"/>
    <w:qFormat/>
    <w:uiPriority w:val="0"/>
    <w:pPr>
      <w:spacing w:line="480" w:lineRule="auto"/>
    </w:pPr>
    <w:rPr>
      <w:rFonts w:ascii="宋体" w:hAnsi="宋体"/>
      <w:szCs w:val="20"/>
    </w:rPr>
  </w:style>
  <w:style w:type="paragraph" w:customStyle="1" w:styleId="219">
    <w:name w:val="默认段落字体 Para Char Char Char Char"/>
    <w:basedOn w:val="1"/>
    <w:qFormat/>
    <w:uiPriority w:val="0"/>
    <w:rPr>
      <w:szCs w:val="21"/>
    </w:rPr>
  </w:style>
  <w:style w:type="paragraph" w:customStyle="1" w:styleId="220">
    <w:name w:val="xl44"/>
    <w:basedOn w:val="1"/>
    <w:qFormat/>
    <w:uiPriority w:val="0"/>
    <w:pPr>
      <w:pBdr>
        <w:top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rPr>
  </w:style>
  <w:style w:type="paragraph" w:customStyle="1" w:styleId="221">
    <w:name w:val="标题6"/>
    <w:basedOn w:val="7"/>
    <w:qFormat/>
    <w:uiPriority w:val="0"/>
    <w:pPr>
      <w:tabs>
        <w:tab w:val="right" w:leader="dot" w:pos="9061"/>
      </w:tabs>
      <w:spacing w:line="319" w:lineRule="auto"/>
      <w:jc w:val="center"/>
    </w:pPr>
    <w:rPr>
      <w:rFonts w:ascii="宋体" w:hAnsi="Arial"/>
      <w:bCs w:val="0"/>
      <w:sz w:val="21"/>
    </w:rPr>
  </w:style>
  <w:style w:type="paragraph" w:customStyle="1" w:styleId="222">
    <w:name w:val="无间隔1"/>
    <w:basedOn w:val="1"/>
    <w:qFormat/>
    <w:uiPriority w:val="0"/>
    <w:rPr>
      <w:rFonts w:ascii="Calibri" w:hAnsi="Calibri"/>
      <w:sz w:val="20"/>
      <w:szCs w:val="20"/>
    </w:rPr>
  </w:style>
  <w:style w:type="paragraph" w:customStyle="1" w:styleId="223">
    <w:name w:val="纯文本11"/>
    <w:basedOn w:val="1"/>
    <w:qFormat/>
    <w:uiPriority w:val="0"/>
    <w:pPr>
      <w:adjustRightInd w:val="0"/>
      <w:textAlignment w:val="baseline"/>
    </w:pPr>
    <w:rPr>
      <w:rFonts w:ascii="宋体" w:hAnsi="Courier New"/>
      <w:szCs w:val="20"/>
    </w:rPr>
  </w:style>
  <w:style w:type="paragraph" w:customStyle="1" w:styleId="224">
    <w:name w:val="xl6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szCs w:val="21"/>
    </w:rPr>
  </w:style>
  <w:style w:type="paragraph" w:customStyle="1" w:styleId="225">
    <w:name w:val="Absatz2AL"/>
    <w:basedOn w:val="18"/>
    <w:next w:val="1"/>
    <w:qFormat/>
    <w:uiPriority w:val="0"/>
    <w:pPr>
      <w:overflowPunct w:val="0"/>
      <w:autoSpaceDE w:val="0"/>
      <w:autoSpaceDN w:val="0"/>
      <w:adjustRightInd w:val="0"/>
      <w:spacing w:after="0"/>
    </w:pPr>
    <w:rPr>
      <w:rFonts w:eastAsia="楷体_GB2312"/>
      <w:kern w:val="0"/>
      <w:sz w:val="24"/>
      <w:szCs w:val="20"/>
      <w:lang w:val="de-DE" w:eastAsia="de-DE"/>
    </w:rPr>
  </w:style>
  <w:style w:type="paragraph" w:customStyle="1" w:styleId="226">
    <w:name w:val="Char1 Char Char Char Char Char Char1"/>
    <w:basedOn w:val="1"/>
    <w:qFormat/>
    <w:uiPriority w:val="0"/>
    <w:rPr>
      <w:szCs w:val="20"/>
    </w:rPr>
  </w:style>
  <w:style w:type="paragraph" w:customStyle="1" w:styleId="227">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228">
    <w:name w:val="Char Char1 Char Char Char Char Char Char Char Char Char Char Char Char Char Char1"/>
    <w:basedOn w:val="1"/>
    <w:qFormat/>
    <w:uiPriority w:val="0"/>
    <w:pPr>
      <w:spacing w:after="160" w:line="240" w:lineRule="exact"/>
    </w:pPr>
    <w:rPr>
      <w:rFonts w:ascii="Verdana" w:hAnsi="Verdana"/>
      <w:sz w:val="20"/>
      <w:szCs w:val="20"/>
      <w:lang w:eastAsia="en-US"/>
    </w:rPr>
  </w:style>
  <w:style w:type="paragraph" w:customStyle="1" w:styleId="229">
    <w:name w:val="xl60"/>
    <w:basedOn w:val="1"/>
    <w:qFormat/>
    <w:uiPriority w:val="0"/>
    <w:pPr>
      <w:pBdr>
        <w:left w:val="single" w:color="auto" w:sz="4" w:space="0"/>
        <w:bottom w:val="single" w:color="auto" w:sz="8" w:space="0"/>
        <w:right w:val="single" w:color="auto" w:sz="4" w:space="0"/>
      </w:pBdr>
      <w:spacing w:before="100" w:beforeAutospacing="1" w:after="100" w:afterAutospacing="1"/>
      <w:jc w:val="right"/>
      <w:textAlignment w:val="center"/>
    </w:pPr>
    <w:rPr>
      <w:szCs w:val="21"/>
    </w:rPr>
  </w:style>
  <w:style w:type="paragraph" w:customStyle="1" w:styleId="230">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sz w:val="20"/>
      <w:szCs w:val="20"/>
    </w:rPr>
  </w:style>
  <w:style w:type="character" w:customStyle="1" w:styleId="231">
    <w:name w:val="标题 4 Char"/>
    <w:link w:val="5"/>
    <w:qFormat/>
    <w:uiPriority w:val="9"/>
    <w:rPr>
      <w:b/>
      <w:bCs/>
      <w:sz w:val="28"/>
      <w:szCs w:val="28"/>
    </w:rPr>
  </w:style>
  <w:style w:type="character" w:customStyle="1" w:styleId="232">
    <w:name w:val="标题 1 Char"/>
    <w:link w:val="2"/>
    <w:qFormat/>
    <w:uiPriority w:val="0"/>
    <w:rPr>
      <w:rFonts w:ascii="Cambria" w:hAnsi="Cambria"/>
      <w:b/>
      <w:bCs/>
      <w:kern w:val="32"/>
      <w:sz w:val="32"/>
      <w:szCs w:val="32"/>
    </w:rPr>
  </w:style>
  <w:style w:type="character" w:customStyle="1" w:styleId="233">
    <w:name w:val="标题 2 Char"/>
    <w:link w:val="3"/>
    <w:qFormat/>
    <w:uiPriority w:val="9"/>
    <w:rPr>
      <w:rFonts w:ascii="Cambria" w:hAnsi="Cambria"/>
      <w:b/>
      <w:bCs/>
      <w:iCs/>
      <w:sz w:val="28"/>
      <w:szCs w:val="28"/>
    </w:rPr>
  </w:style>
  <w:style w:type="character" w:customStyle="1" w:styleId="234">
    <w:name w:val="标题 3 Char"/>
    <w:link w:val="4"/>
    <w:qFormat/>
    <w:uiPriority w:val="9"/>
    <w:rPr>
      <w:rFonts w:ascii="Cambria" w:hAnsi="Cambria" w:eastAsia="宋体"/>
      <w:b/>
      <w:bCs/>
      <w:sz w:val="26"/>
      <w:szCs w:val="26"/>
    </w:rPr>
  </w:style>
  <w:style w:type="character" w:customStyle="1" w:styleId="235">
    <w:name w:val="标题 5 Char"/>
    <w:link w:val="6"/>
    <w:qFormat/>
    <w:uiPriority w:val="9"/>
    <w:rPr>
      <w:b/>
      <w:bCs/>
      <w:i/>
      <w:iCs/>
      <w:sz w:val="26"/>
      <w:szCs w:val="26"/>
    </w:rPr>
  </w:style>
  <w:style w:type="character" w:customStyle="1" w:styleId="236">
    <w:name w:val="标题 6 Char"/>
    <w:link w:val="7"/>
    <w:qFormat/>
    <w:uiPriority w:val="9"/>
    <w:rPr>
      <w:b/>
      <w:bCs/>
    </w:rPr>
  </w:style>
  <w:style w:type="character" w:customStyle="1" w:styleId="237">
    <w:name w:val="标题 7 Char"/>
    <w:link w:val="8"/>
    <w:qFormat/>
    <w:uiPriority w:val="9"/>
    <w:rPr>
      <w:sz w:val="24"/>
      <w:szCs w:val="24"/>
    </w:rPr>
  </w:style>
  <w:style w:type="character" w:customStyle="1" w:styleId="238">
    <w:name w:val="标题 8 Char"/>
    <w:link w:val="9"/>
    <w:qFormat/>
    <w:uiPriority w:val="9"/>
    <w:rPr>
      <w:i/>
      <w:iCs/>
      <w:sz w:val="24"/>
      <w:szCs w:val="24"/>
    </w:rPr>
  </w:style>
  <w:style w:type="character" w:customStyle="1" w:styleId="239">
    <w:name w:val="标题 9 Char"/>
    <w:link w:val="10"/>
    <w:qFormat/>
    <w:uiPriority w:val="9"/>
    <w:rPr>
      <w:rFonts w:ascii="Cambria" w:hAnsi="Cambria" w:eastAsia="宋体"/>
    </w:rPr>
  </w:style>
  <w:style w:type="character" w:customStyle="1" w:styleId="240">
    <w:name w:val="正文缩进 Char"/>
    <w:link w:val="12"/>
    <w:qFormat/>
    <w:uiPriority w:val="0"/>
    <w:rPr>
      <w:kern w:val="2"/>
      <w:sz w:val="21"/>
    </w:rPr>
  </w:style>
  <w:style w:type="character" w:customStyle="1" w:styleId="241">
    <w:name w:val="文档结构图 Char"/>
    <w:link w:val="14"/>
    <w:qFormat/>
    <w:uiPriority w:val="0"/>
    <w:rPr>
      <w:rFonts w:ascii="宋体" w:eastAsia="宋体"/>
      <w:kern w:val="2"/>
      <w:sz w:val="18"/>
      <w:szCs w:val="18"/>
      <w:lang w:bidi="ar-SA"/>
    </w:rPr>
  </w:style>
  <w:style w:type="character" w:customStyle="1" w:styleId="242">
    <w:name w:val="批注文字 Char"/>
    <w:link w:val="15"/>
    <w:qFormat/>
    <w:uiPriority w:val="99"/>
    <w:rPr>
      <w:rFonts w:eastAsia="宋体"/>
      <w:kern w:val="2"/>
      <w:sz w:val="21"/>
      <w:szCs w:val="24"/>
      <w:lang w:val="en-US" w:eastAsia="zh-CN" w:bidi="ar-SA"/>
    </w:rPr>
  </w:style>
  <w:style w:type="character" w:customStyle="1" w:styleId="243">
    <w:name w:val="正文文本 3 Char"/>
    <w:link w:val="16"/>
    <w:qFormat/>
    <w:uiPriority w:val="0"/>
    <w:rPr>
      <w:rFonts w:eastAsia="宋体"/>
      <w:b/>
      <w:bCs/>
      <w:kern w:val="2"/>
      <w:sz w:val="24"/>
      <w:szCs w:val="24"/>
      <w:lang w:bidi="ar-SA"/>
    </w:rPr>
  </w:style>
  <w:style w:type="character" w:customStyle="1" w:styleId="244">
    <w:name w:val="正文文本 Char"/>
    <w:link w:val="18"/>
    <w:qFormat/>
    <w:uiPriority w:val="0"/>
    <w:rPr>
      <w:kern w:val="2"/>
      <w:sz w:val="21"/>
      <w:szCs w:val="24"/>
    </w:rPr>
  </w:style>
  <w:style w:type="character" w:customStyle="1" w:styleId="245">
    <w:name w:val="副标题 Char"/>
    <w:link w:val="34"/>
    <w:qFormat/>
    <w:uiPriority w:val="11"/>
    <w:rPr>
      <w:rFonts w:ascii="Cambria" w:hAnsi="Cambria" w:eastAsia="宋体"/>
      <w:sz w:val="24"/>
      <w:szCs w:val="24"/>
    </w:rPr>
  </w:style>
  <w:style w:type="character" w:customStyle="1" w:styleId="246">
    <w:name w:val="正文文本缩进 Char"/>
    <w:link w:val="19"/>
    <w:qFormat/>
    <w:uiPriority w:val="0"/>
    <w:rPr>
      <w:kern w:val="2"/>
      <w:sz w:val="21"/>
      <w:szCs w:val="24"/>
      <w:lang w:bidi="ar-SA"/>
    </w:rPr>
  </w:style>
  <w:style w:type="character" w:customStyle="1" w:styleId="247">
    <w:name w:val="纯文本 Char"/>
    <w:link w:val="25"/>
    <w:qFormat/>
    <w:uiPriority w:val="0"/>
    <w:rPr>
      <w:rFonts w:ascii="宋体" w:hAnsi="Courier New"/>
      <w:kern w:val="2"/>
      <w:sz w:val="21"/>
    </w:rPr>
  </w:style>
  <w:style w:type="character" w:customStyle="1" w:styleId="248">
    <w:name w:val="日期 Char"/>
    <w:link w:val="27"/>
    <w:qFormat/>
    <w:uiPriority w:val="0"/>
    <w:rPr>
      <w:kern w:val="2"/>
      <w:sz w:val="21"/>
      <w:szCs w:val="24"/>
    </w:rPr>
  </w:style>
  <w:style w:type="character" w:customStyle="1" w:styleId="249">
    <w:name w:val="正文文本缩进 2 Char"/>
    <w:link w:val="28"/>
    <w:qFormat/>
    <w:uiPriority w:val="0"/>
    <w:rPr>
      <w:kern w:val="2"/>
      <w:sz w:val="32"/>
      <w:szCs w:val="24"/>
    </w:rPr>
  </w:style>
  <w:style w:type="character" w:customStyle="1" w:styleId="250">
    <w:name w:val="批注框文本 Char"/>
    <w:link w:val="29"/>
    <w:qFormat/>
    <w:uiPriority w:val="99"/>
    <w:rPr>
      <w:kern w:val="2"/>
      <w:sz w:val="18"/>
      <w:szCs w:val="18"/>
      <w:lang w:bidi="ar-SA"/>
    </w:rPr>
  </w:style>
  <w:style w:type="character" w:customStyle="1" w:styleId="251">
    <w:name w:val="页脚 Char"/>
    <w:link w:val="30"/>
    <w:qFormat/>
    <w:uiPriority w:val="99"/>
    <w:rPr>
      <w:kern w:val="2"/>
      <w:sz w:val="18"/>
      <w:szCs w:val="18"/>
    </w:rPr>
  </w:style>
  <w:style w:type="character" w:customStyle="1" w:styleId="252">
    <w:name w:val="页眉 Char"/>
    <w:link w:val="31"/>
    <w:qFormat/>
    <w:uiPriority w:val="99"/>
    <w:rPr>
      <w:kern w:val="2"/>
      <w:sz w:val="18"/>
      <w:szCs w:val="18"/>
    </w:rPr>
  </w:style>
  <w:style w:type="character" w:customStyle="1" w:styleId="253">
    <w:name w:val="脚注文本 Char"/>
    <w:link w:val="35"/>
    <w:qFormat/>
    <w:uiPriority w:val="0"/>
    <w:rPr>
      <w:kern w:val="2"/>
      <w:sz w:val="18"/>
      <w:szCs w:val="18"/>
      <w:lang w:bidi="ar-SA"/>
    </w:rPr>
  </w:style>
  <w:style w:type="character" w:customStyle="1" w:styleId="254">
    <w:name w:val="正文文本缩进 3 Char"/>
    <w:link w:val="37"/>
    <w:qFormat/>
    <w:uiPriority w:val="0"/>
    <w:rPr>
      <w:rFonts w:eastAsia="楷体"/>
      <w:sz w:val="24"/>
      <w:lang w:bidi="ar-SA"/>
    </w:rPr>
  </w:style>
  <w:style w:type="character" w:customStyle="1" w:styleId="255">
    <w:name w:val="正文文本 2 Char"/>
    <w:link w:val="40"/>
    <w:qFormat/>
    <w:uiPriority w:val="0"/>
    <w:rPr>
      <w:rFonts w:ascii="Calibri" w:hAnsi="Calibri"/>
      <w:kern w:val="2"/>
      <w:sz w:val="21"/>
      <w:szCs w:val="22"/>
    </w:rPr>
  </w:style>
  <w:style w:type="character" w:customStyle="1" w:styleId="256">
    <w:name w:val="HTML 预设格式 Char"/>
    <w:link w:val="41"/>
    <w:qFormat/>
    <w:uiPriority w:val="0"/>
    <w:rPr>
      <w:rFonts w:ascii="Arial" w:hAnsi="Arial" w:cs="Arial"/>
      <w:sz w:val="21"/>
      <w:szCs w:val="24"/>
    </w:rPr>
  </w:style>
  <w:style w:type="character" w:customStyle="1" w:styleId="257">
    <w:name w:val="标题 Char"/>
    <w:link w:val="44"/>
    <w:qFormat/>
    <w:uiPriority w:val="10"/>
    <w:rPr>
      <w:rFonts w:ascii="Cambria" w:hAnsi="Cambria" w:eastAsia="宋体"/>
      <w:b/>
      <w:bCs/>
      <w:kern w:val="28"/>
      <w:sz w:val="32"/>
      <w:szCs w:val="32"/>
    </w:rPr>
  </w:style>
  <w:style w:type="character" w:customStyle="1" w:styleId="258">
    <w:name w:val="批注主题 Char"/>
    <w:basedOn w:val="242"/>
    <w:link w:val="45"/>
    <w:qFormat/>
    <w:uiPriority w:val="99"/>
    <w:rPr>
      <w:rFonts w:eastAsia="宋体"/>
      <w:kern w:val="2"/>
      <w:sz w:val="21"/>
      <w:szCs w:val="24"/>
      <w:lang w:val="en-US" w:eastAsia="zh-CN" w:bidi="ar-SA"/>
    </w:rPr>
  </w:style>
  <w:style w:type="character" w:customStyle="1" w:styleId="259">
    <w:name w:val="正文首行缩进 Char"/>
    <w:link w:val="46"/>
    <w:qFormat/>
    <w:uiPriority w:val="0"/>
    <w:rPr>
      <w:rFonts w:ascii="Arial" w:hAnsi="Arial"/>
      <w:color w:val="000000"/>
      <w:kern w:val="2"/>
      <w:sz w:val="21"/>
      <w:szCs w:val="24"/>
    </w:rPr>
  </w:style>
  <w:style w:type="character" w:customStyle="1" w:styleId="260">
    <w:name w:val="Char Char36"/>
    <w:basedOn w:val="50"/>
    <w:qFormat/>
    <w:uiPriority w:val="0"/>
  </w:style>
  <w:style w:type="character" w:customStyle="1" w:styleId="261">
    <w:name w:val="_Style 257"/>
    <w:qFormat/>
    <w:uiPriority w:val="19"/>
    <w:rPr>
      <w:i/>
      <w:color w:val="5A5A5A"/>
    </w:rPr>
  </w:style>
  <w:style w:type="character" w:customStyle="1" w:styleId="262">
    <w:name w:val="tabletextchar1"/>
    <w:basedOn w:val="50"/>
    <w:qFormat/>
    <w:uiPriority w:val="0"/>
  </w:style>
  <w:style w:type="character" w:customStyle="1" w:styleId="263">
    <w:name w:val="Char Char20"/>
    <w:qFormat/>
    <w:uiPriority w:val="0"/>
  </w:style>
  <w:style w:type="character" w:customStyle="1" w:styleId="264">
    <w:name w:val="apple-converted-space"/>
    <w:basedOn w:val="50"/>
    <w:qFormat/>
    <w:uiPriority w:val="0"/>
  </w:style>
  <w:style w:type="character" w:customStyle="1" w:styleId="265">
    <w:name w:val="apple-style-span"/>
    <w:basedOn w:val="50"/>
    <w:qFormat/>
    <w:uiPriority w:val="0"/>
  </w:style>
  <w:style w:type="character" w:customStyle="1" w:styleId="266">
    <w:name w:val="font61"/>
    <w:basedOn w:val="50"/>
    <w:qFormat/>
    <w:uiPriority w:val="0"/>
    <w:rPr>
      <w:rFonts w:ascii="Arial" w:hAnsi="Arial" w:cs="Arial"/>
      <w:b/>
      <w:color w:val="000000"/>
      <w:sz w:val="28"/>
      <w:szCs w:val="28"/>
      <w:u w:val="none"/>
    </w:rPr>
  </w:style>
  <w:style w:type="character" w:customStyle="1" w:styleId="267">
    <w:name w:val="正文文本缩进 2 Char1"/>
    <w:semiHidden/>
    <w:qFormat/>
    <w:uiPriority w:val="99"/>
    <w:rPr>
      <w:rFonts w:ascii="Times New Roman" w:hAnsi="Times New Roman" w:eastAsia="宋体" w:cs="Times New Roman"/>
      <w:kern w:val="2"/>
      <w:sz w:val="21"/>
    </w:rPr>
  </w:style>
  <w:style w:type="character" w:customStyle="1" w:styleId="268">
    <w:name w:val="样式2 Char Char1"/>
    <w:basedOn w:val="50"/>
    <w:qFormat/>
    <w:uiPriority w:val="0"/>
  </w:style>
  <w:style w:type="character" w:customStyle="1" w:styleId="269">
    <w:name w:val="meuncn1"/>
    <w:basedOn w:val="50"/>
    <w:qFormat/>
    <w:uiPriority w:val="0"/>
  </w:style>
  <w:style w:type="character" w:customStyle="1" w:styleId="270">
    <w:name w:val="Table Text Char Char"/>
    <w:basedOn w:val="50"/>
    <w:qFormat/>
    <w:uiPriority w:val="0"/>
  </w:style>
  <w:style w:type="character" w:customStyle="1" w:styleId="271">
    <w:name w:val="Char Char14"/>
    <w:qFormat/>
    <w:uiPriority w:val="0"/>
  </w:style>
  <w:style w:type="character" w:customStyle="1" w:styleId="272">
    <w:name w:val="正文（小标题） Char Char"/>
    <w:basedOn w:val="50"/>
    <w:qFormat/>
    <w:uiPriority w:val="0"/>
  </w:style>
  <w:style w:type="character" w:customStyle="1" w:styleId="273">
    <w:name w:val="Char Char31"/>
    <w:qFormat/>
    <w:uiPriority w:val="0"/>
  </w:style>
  <w:style w:type="character" w:customStyle="1" w:styleId="274">
    <w:name w:val="Balloon Text Char"/>
    <w:semiHidden/>
    <w:qFormat/>
    <w:locked/>
    <w:uiPriority w:val="99"/>
    <w:rPr>
      <w:rFonts w:ascii="Calibri" w:hAnsi="Calibri" w:eastAsia="宋体" w:cs="Times New Roman"/>
      <w:sz w:val="18"/>
      <w:szCs w:val="18"/>
    </w:rPr>
  </w:style>
  <w:style w:type="character" w:customStyle="1" w:styleId="275">
    <w:name w:val="批注主题 Char1"/>
    <w:semiHidden/>
    <w:qFormat/>
    <w:uiPriority w:val="99"/>
    <w:rPr>
      <w:rFonts w:ascii="宋体" w:hAnsi="宋体" w:eastAsia="宋体" w:cs="Times New Roman"/>
      <w:b/>
      <w:bCs/>
      <w:kern w:val="2"/>
      <w:sz w:val="24"/>
      <w:szCs w:val="24"/>
      <w:lang w:val="en-US" w:eastAsia="zh-CN" w:bidi="ar-SA"/>
    </w:rPr>
  </w:style>
  <w:style w:type="character" w:customStyle="1" w:styleId="276">
    <w:name w:val="正文文本缩进 Char Char"/>
    <w:basedOn w:val="50"/>
    <w:qFormat/>
    <w:uiPriority w:val="0"/>
  </w:style>
  <w:style w:type="character" w:customStyle="1" w:styleId="277">
    <w:name w:val="z-窗体底端 Char1"/>
    <w:semiHidden/>
    <w:qFormat/>
    <w:uiPriority w:val="99"/>
    <w:rPr>
      <w:rFonts w:ascii="Arial" w:hAnsi="Arial" w:eastAsia="宋体" w:cs="Arial"/>
      <w:vanish/>
      <w:kern w:val="2"/>
      <w:sz w:val="16"/>
      <w:szCs w:val="16"/>
    </w:rPr>
  </w:style>
  <w:style w:type="character" w:customStyle="1" w:styleId="278">
    <w:name w:val="Char Char10"/>
    <w:qFormat/>
    <w:uiPriority w:val="0"/>
  </w:style>
  <w:style w:type="character" w:customStyle="1" w:styleId="279">
    <w:name w:val="Char Char2"/>
    <w:qFormat/>
    <w:uiPriority w:val="0"/>
  </w:style>
  <w:style w:type="character" w:customStyle="1" w:styleId="280">
    <w:name w:val="_Style 276"/>
    <w:qFormat/>
    <w:uiPriority w:val="33"/>
    <w:rPr>
      <w:rFonts w:ascii="Cambria" w:hAnsi="Cambria" w:eastAsia="宋体"/>
      <w:b/>
      <w:i/>
      <w:sz w:val="24"/>
      <w:szCs w:val="24"/>
    </w:rPr>
  </w:style>
  <w:style w:type="character" w:customStyle="1" w:styleId="281">
    <w:name w:val="p14"/>
    <w:basedOn w:val="50"/>
    <w:qFormat/>
    <w:uiPriority w:val="0"/>
  </w:style>
  <w:style w:type="character" w:customStyle="1" w:styleId="282">
    <w:name w:val="正文格式 Char Char"/>
    <w:basedOn w:val="50"/>
    <w:qFormat/>
    <w:uiPriority w:val="0"/>
  </w:style>
  <w:style w:type="character" w:customStyle="1" w:styleId="283">
    <w:name w:val="font01"/>
    <w:basedOn w:val="50"/>
    <w:qFormat/>
    <w:uiPriority w:val="0"/>
    <w:rPr>
      <w:rFonts w:hint="eastAsia" w:ascii="宋体" w:hAnsi="宋体" w:eastAsia="宋体" w:cs="宋体"/>
      <w:color w:val="000000"/>
      <w:sz w:val="22"/>
      <w:szCs w:val="22"/>
      <w:u w:val="none"/>
    </w:rPr>
  </w:style>
  <w:style w:type="character" w:customStyle="1" w:styleId="284">
    <w:name w:val="Char Char26"/>
    <w:qFormat/>
    <w:uiPriority w:val="0"/>
  </w:style>
  <w:style w:type="character" w:customStyle="1" w:styleId="285">
    <w:name w:val="标题 9 Char Char"/>
    <w:basedOn w:val="50"/>
    <w:qFormat/>
    <w:uiPriority w:val="0"/>
  </w:style>
  <w:style w:type="character" w:customStyle="1" w:styleId="286">
    <w:name w:val="(符号)五标题1.1.1 Char"/>
    <w:link w:val="64"/>
    <w:qFormat/>
    <w:locked/>
    <w:uiPriority w:val="99"/>
    <w:rPr>
      <w:rFonts w:ascii="宋体" w:hAnsi="宋体"/>
      <w:color w:val="000000"/>
      <w:kern w:val="2"/>
      <w:sz w:val="24"/>
      <w:lang w:bidi="ar-SA"/>
    </w:rPr>
  </w:style>
  <w:style w:type="character" w:customStyle="1" w:styleId="287">
    <w:name w:val="编号1 Char Char"/>
    <w:basedOn w:val="50"/>
    <w:qFormat/>
    <w:uiPriority w:val="0"/>
  </w:style>
  <w:style w:type="character" w:customStyle="1" w:styleId="288">
    <w:name w:val="Char Char37"/>
    <w:basedOn w:val="50"/>
    <w:qFormat/>
    <w:uiPriority w:val="0"/>
  </w:style>
  <w:style w:type="character" w:customStyle="1" w:styleId="289">
    <w:name w:val="Char Char32"/>
    <w:qFormat/>
    <w:uiPriority w:val="0"/>
  </w:style>
  <w:style w:type="character" w:customStyle="1" w:styleId="290">
    <w:name w:val="Char Char49"/>
    <w:basedOn w:val="50"/>
    <w:qFormat/>
    <w:uiPriority w:val="0"/>
  </w:style>
  <w:style w:type="character" w:customStyle="1" w:styleId="291">
    <w:name w:val="方框小标题 Char Char"/>
    <w:basedOn w:val="50"/>
    <w:qFormat/>
    <w:uiPriority w:val="0"/>
  </w:style>
  <w:style w:type="character" w:customStyle="1" w:styleId="292">
    <w:name w:val="Char Char4"/>
    <w:basedOn w:val="50"/>
    <w:qFormat/>
    <w:uiPriority w:val="0"/>
  </w:style>
  <w:style w:type="character" w:customStyle="1" w:styleId="293">
    <w:name w:val="标题 6 Char Char"/>
    <w:basedOn w:val="50"/>
    <w:qFormat/>
    <w:uiPriority w:val="0"/>
  </w:style>
  <w:style w:type="character" w:customStyle="1" w:styleId="294">
    <w:name w:val="Char Char44"/>
    <w:basedOn w:val="50"/>
    <w:qFormat/>
    <w:uiPriority w:val="0"/>
  </w:style>
  <w:style w:type="character" w:customStyle="1" w:styleId="295">
    <w:name w:val="ca-10"/>
    <w:basedOn w:val="50"/>
    <w:qFormat/>
    <w:uiPriority w:val="0"/>
  </w:style>
  <w:style w:type="character" w:customStyle="1" w:styleId="296">
    <w:name w:val="H1 Char"/>
    <w:basedOn w:val="50"/>
    <w:qFormat/>
    <w:uiPriority w:val="0"/>
  </w:style>
  <w:style w:type="character" w:customStyle="1" w:styleId="297">
    <w:name w:val="Char Char40"/>
    <w:qFormat/>
    <w:uiPriority w:val="0"/>
  </w:style>
  <w:style w:type="character" w:customStyle="1" w:styleId="298">
    <w:name w:val="Char Char441"/>
    <w:qFormat/>
    <w:uiPriority w:val="0"/>
  </w:style>
  <w:style w:type="character" w:customStyle="1" w:styleId="299">
    <w:name w:val="标题 2 Char Char"/>
    <w:basedOn w:val="50"/>
    <w:qFormat/>
    <w:uiPriority w:val="0"/>
  </w:style>
  <w:style w:type="character" w:customStyle="1" w:styleId="300">
    <w:name w:val="加点正文缩进 Char Char"/>
    <w:basedOn w:val="50"/>
    <w:qFormat/>
    <w:uiPriority w:val="0"/>
  </w:style>
  <w:style w:type="character" w:customStyle="1" w:styleId="301">
    <w:name w:val="font31"/>
    <w:qFormat/>
    <w:uiPriority w:val="0"/>
    <w:rPr>
      <w:rFonts w:hint="eastAsia" w:ascii="宋体" w:hAnsi="宋体" w:eastAsia="宋体" w:cs="宋体"/>
      <w:color w:val="000000"/>
      <w:sz w:val="22"/>
      <w:szCs w:val="22"/>
      <w:u w:val="none"/>
    </w:rPr>
  </w:style>
  <w:style w:type="character" w:customStyle="1" w:styleId="302">
    <w:name w:val="样式2 Char Char"/>
    <w:basedOn w:val="50"/>
    <w:qFormat/>
    <w:uiPriority w:val="0"/>
  </w:style>
  <w:style w:type="character" w:customStyle="1" w:styleId="303">
    <w:name w:val="img1"/>
    <w:basedOn w:val="50"/>
    <w:qFormat/>
    <w:uiPriority w:val="0"/>
  </w:style>
  <w:style w:type="character" w:customStyle="1" w:styleId="304">
    <w:name w:val="标题1"/>
    <w:qFormat/>
    <w:uiPriority w:val="0"/>
  </w:style>
  <w:style w:type="character" w:customStyle="1" w:styleId="305">
    <w:name w:val="Char Char Char Char Char Char Char Char Char Char Char"/>
    <w:qFormat/>
    <w:uiPriority w:val="0"/>
    <w:rPr>
      <w:rFonts w:ascii="宋体"/>
      <w:kern w:val="2"/>
      <w:sz w:val="18"/>
      <w:szCs w:val="18"/>
    </w:rPr>
  </w:style>
  <w:style w:type="character" w:customStyle="1" w:styleId="306">
    <w:name w:val="Char Char43"/>
    <w:qFormat/>
    <w:uiPriority w:val="0"/>
  </w:style>
  <w:style w:type="character" w:customStyle="1" w:styleId="307">
    <w:name w:val="正文缩进 Char Char Char"/>
    <w:basedOn w:val="50"/>
    <w:qFormat/>
    <w:uiPriority w:val="0"/>
  </w:style>
  <w:style w:type="character" w:customStyle="1" w:styleId="308">
    <w:name w:val="Char Char33"/>
    <w:qFormat/>
    <w:uiPriority w:val="0"/>
  </w:style>
  <w:style w:type="character" w:customStyle="1" w:styleId="309">
    <w:name w:val="Char Char35"/>
    <w:qFormat/>
    <w:uiPriority w:val="0"/>
  </w:style>
  <w:style w:type="character" w:customStyle="1" w:styleId="310">
    <w:name w:val="arc11"/>
    <w:basedOn w:val="50"/>
    <w:qFormat/>
    <w:uiPriority w:val="0"/>
  </w:style>
  <w:style w:type="character" w:customStyle="1" w:styleId="311">
    <w:name w:val="short_text"/>
    <w:basedOn w:val="50"/>
    <w:qFormat/>
    <w:uiPriority w:val="0"/>
  </w:style>
  <w:style w:type="character" w:customStyle="1" w:styleId="312">
    <w:name w:val="Char Char27"/>
    <w:qFormat/>
    <w:uiPriority w:val="0"/>
  </w:style>
  <w:style w:type="character" w:customStyle="1" w:styleId="313">
    <w:name w:val="正文（缩进） Char1"/>
    <w:basedOn w:val="50"/>
    <w:qFormat/>
    <w:uiPriority w:val="0"/>
  </w:style>
  <w:style w:type="character" w:customStyle="1" w:styleId="314">
    <w:name w:val="Char Char13"/>
    <w:basedOn w:val="271"/>
    <w:qFormat/>
    <w:uiPriority w:val="0"/>
  </w:style>
  <w:style w:type="character" w:customStyle="1" w:styleId="315">
    <w:name w:val="style261"/>
    <w:basedOn w:val="50"/>
    <w:qFormat/>
    <w:uiPriority w:val="0"/>
  </w:style>
  <w:style w:type="character" w:customStyle="1" w:styleId="316">
    <w:name w:val="ca-6"/>
    <w:basedOn w:val="50"/>
    <w:qFormat/>
    <w:uiPriority w:val="0"/>
  </w:style>
  <w:style w:type="character" w:customStyle="1" w:styleId="317">
    <w:name w:val="Char Char17"/>
    <w:qFormat/>
    <w:uiPriority w:val="0"/>
  </w:style>
  <w:style w:type="character" w:customStyle="1" w:styleId="318">
    <w:name w:val="Char Char15"/>
    <w:qFormat/>
    <w:uiPriority w:val="0"/>
  </w:style>
  <w:style w:type="character" w:customStyle="1" w:styleId="319">
    <w:name w:val="ca-8"/>
    <w:basedOn w:val="50"/>
    <w:qFormat/>
    <w:uiPriority w:val="0"/>
  </w:style>
  <w:style w:type="character" w:customStyle="1" w:styleId="320">
    <w:name w:val="图表正文 Char Char"/>
    <w:basedOn w:val="50"/>
    <w:qFormat/>
    <w:uiPriority w:val="0"/>
  </w:style>
  <w:style w:type="character" w:customStyle="1" w:styleId="321">
    <w:name w:val="_Style 317"/>
    <w:qFormat/>
    <w:uiPriority w:val="31"/>
    <w:rPr>
      <w:sz w:val="24"/>
      <w:szCs w:val="24"/>
      <w:u w:val="single"/>
    </w:rPr>
  </w:style>
  <w:style w:type="character" w:customStyle="1" w:styleId="322">
    <w:name w:val="Anrede1IhrZeichen"/>
    <w:basedOn w:val="50"/>
    <w:qFormat/>
    <w:uiPriority w:val="0"/>
  </w:style>
  <w:style w:type="character" w:customStyle="1" w:styleId="323">
    <w:name w:val="无间隔 Char"/>
    <w:link w:val="65"/>
    <w:qFormat/>
    <w:uiPriority w:val="1"/>
    <w:rPr>
      <w:sz w:val="24"/>
      <w:szCs w:val="32"/>
    </w:rPr>
  </w:style>
  <w:style w:type="character" w:customStyle="1" w:styleId="324">
    <w:name w:val="Char Char46"/>
    <w:qFormat/>
    <w:uiPriority w:val="0"/>
  </w:style>
  <w:style w:type="character" w:customStyle="1" w:styleId="325">
    <w:name w:val="首航缩进 Char Char"/>
    <w:basedOn w:val="50"/>
    <w:qFormat/>
    <w:uiPriority w:val="0"/>
  </w:style>
  <w:style w:type="character" w:customStyle="1" w:styleId="326">
    <w:name w:val="font_01"/>
    <w:basedOn w:val="50"/>
    <w:qFormat/>
    <w:uiPriority w:val="0"/>
  </w:style>
  <w:style w:type="character" w:customStyle="1" w:styleId="327">
    <w:name w:val="批注引用1"/>
    <w:basedOn w:val="50"/>
    <w:qFormat/>
    <w:uiPriority w:val="0"/>
  </w:style>
  <w:style w:type="character" w:customStyle="1" w:styleId="328">
    <w:name w:val="Char Char39"/>
    <w:qFormat/>
    <w:uiPriority w:val="0"/>
  </w:style>
  <w:style w:type="character" w:customStyle="1" w:styleId="329">
    <w:name w:val="font91"/>
    <w:basedOn w:val="50"/>
    <w:qFormat/>
    <w:uiPriority w:val="0"/>
    <w:rPr>
      <w:rFonts w:hint="default" w:ascii="Arial" w:hAnsi="Arial" w:cs="Arial"/>
      <w:color w:val="000000"/>
      <w:sz w:val="22"/>
      <w:szCs w:val="22"/>
      <w:u w:val="none"/>
    </w:rPr>
  </w:style>
  <w:style w:type="character" w:customStyle="1" w:styleId="330">
    <w:name w:val="Char Char371"/>
    <w:qFormat/>
    <w:uiPriority w:val="0"/>
  </w:style>
  <w:style w:type="character" w:customStyle="1" w:styleId="331">
    <w:name w:val="bold1"/>
    <w:basedOn w:val="50"/>
    <w:qFormat/>
    <w:uiPriority w:val="0"/>
  </w:style>
  <w:style w:type="character" w:customStyle="1" w:styleId="332">
    <w:name w:val="ABC标题下的小点 Char Char"/>
    <w:basedOn w:val="50"/>
    <w:qFormat/>
    <w:uiPriority w:val="0"/>
  </w:style>
  <w:style w:type="character" w:customStyle="1" w:styleId="333">
    <w:name w:val="p141"/>
    <w:qFormat/>
    <w:uiPriority w:val="0"/>
  </w:style>
  <w:style w:type="character" w:customStyle="1" w:styleId="334">
    <w:name w:val="Char Char171"/>
    <w:qFormat/>
    <w:uiPriority w:val="0"/>
  </w:style>
  <w:style w:type="character" w:customStyle="1" w:styleId="335">
    <w:name w:val="正文文本 2 Char Char"/>
    <w:basedOn w:val="50"/>
    <w:qFormat/>
    <w:uiPriority w:val="0"/>
  </w:style>
  <w:style w:type="character" w:customStyle="1" w:styleId="336">
    <w:name w:val="t_tag"/>
    <w:basedOn w:val="50"/>
    <w:qFormat/>
    <w:uiPriority w:val="0"/>
  </w:style>
  <w:style w:type="character" w:customStyle="1" w:styleId="337">
    <w:name w:val="正文1 Char Char"/>
    <w:basedOn w:val="50"/>
    <w:qFormat/>
    <w:uiPriority w:val="0"/>
  </w:style>
  <w:style w:type="character" w:customStyle="1" w:styleId="338">
    <w:name w:val="Char Char Char Char Char Char Char Char Char"/>
    <w:qFormat/>
    <w:uiPriority w:val="0"/>
  </w:style>
  <w:style w:type="character" w:customStyle="1" w:styleId="339">
    <w:name w:val="（符号）三标题1.1 Char"/>
    <w:qFormat/>
    <w:uiPriority w:val="99"/>
    <w:rPr>
      <w:rFonts w:ascii="宋体" w:hAnsi="宋体"/>
      <w:kern w:val="2"/>
      <w:sz w:val="24"/>
      <w:szCs w:val="24"/>
    </w:rPr>
  </w:style>
  <w:style w:type="character" w:customStyle="1" w:styleId="340">
    <w:name w:val="img"/>
    <w:basedOn w:val="50"/>
    <w:qFormat/>
    <w:uiPriority w:val="0"/>
  </w:style>
  <w:style w:type="character" w:customStyle="1" w:styleId="341">
    <w:name w:val="正文文本缩进 Char1"/>
    <w:semiHidden/>
    <w:qFormat/>
    <w:uiPriority w:val="99"/>
    <w:rPr>
      <w:rFonts w:ascii="Times New Roman" w:hAnsi="Times New Roman" w:eastAsia="宋体" w:cs="Times New Roman"/>
      <w:kern w:val="2"/>
      <w:sz w:val="21"/>
    </w:rPr>
  </w:style>
  <w:style w:type="character" w:customStyle="1" w:styleId="342">
    <w:name w:val="段 Char Char"/>
    <w:link w:val="66"/>
    <w:qFormat/>
    <w:uiPriority w:val="0"/>
    <w:rPr>
      <w:rFonts w:ascii="宋体"/>
      <w:sz w:val="21"/>
      <w:szCs w:val="22"/>
      <w:lang w:val="en-US" w:eastAsia="zh-CN" w:bidi="ar-SA"/>
    </w:rPr>
  </w:style>
  <w:style w:type="character" w:customStyle="1" w:styleId="343">
    <w:name w:val="Char Char42"/>
    <w:qFormat/>
    <w:uiPriority w:val="0"/>
  </w:style>
  <w:style w:type="character" w:customStyle="1" w:styleId="344">
    <w:name w:val="正文文本 2 Char1"/>
    <w:semiHidden/>
    <w:qFormat/>
    <w:uiPriority w:val="99"/>
    <w:rPr>
      <w:rFonts w:ascii="Times New Roman" w:hAnsi="Times New Roman" w:eastAsia="宋体" w:cs="Times New Roman"/>
      <w:kern w:val="2"/>
      <w:sz w:val="21"/>
    </w:rPr>
  </w:style>
  <w:style w:type="character" w:customStyle="1" w:styleId="345">
    <w:name w:val="Char Char38"/>
    <w:qFormat/>
    <w:uiPriority w:val="0"/>
  </w:style>
  <w:style w:type="character" w:customStyle="1" w:styleId="346">
    <w:name w:val="3zw1"/>
    <w:basedOn w:val="50"/>
    <w:qFormat/>
    <w:uiPriority w:val="0"/>
  </w:style>
  <w:style w:type="character" w:customStyle="1" w:styleId="347">
    <w:name w:val="tt5"/>
    <w:basedOn w:val="50"/>
    <w:qFormat/>
    <w:uiPriority w:val="0"/>
  </w:style>
  <w:style w:type="character" w:customStyle="1" w:styleId="348">
    <w:name w:val="Char Char30"/>
    <w:qFormat/>
    <w:uiPriority w:val="0"/>
  </w:style>
  <w:style w:type="character" w:customStyle="1" w:styleId="349">
    <w:name w:val="图表题头 Char Char"/>
    <w:basedOn w:val="50"/>
    <w:qFormat/>
    <w:uiPriority w:val="0"/>
  </w:style>
  <w:style w:type="character" w:customStyle="1" w:styleId="350">
    <w:name w:val="Char Char11"/>
    <w:qFormat/>
    <w:uiPriority w:val="0"/>
  </w:style>
  <w:style w:type="character" w:customStyle="1" w:styleId="351">
    <w:name w:val="标题 Char1"/>
    <w:qFormat/>
    <w:uiPriority w:val="10"/>
    <w:rPr>
      <w:rFonts w:ascii="Cambria" w:hAnsi="Cambria" w:eastAsia="宋体" w:cs="Times New Roman"/>
      <w:b/>
      <w:bCs/>
      <w:kern w:val="2"/>
      <w:sz w:val="32"/>
      <w:szCs w:val="32"/>
    </w:rPr>
  </w:style>
  <w:style w:type="character" w:customStyle="1" w:styleId="352">
    <w:name w:val="font21"/>
    <w:qFormat/>
    <w:uiPriority w:val="0"/>
    <w:rPr>
      <w:rFonts w:ascii="宋体" w:eastAsia="宋体" w:cs="宋体"/>
      <w:color w:val="000000"/>
      <w:sz w:val="20"/>
      <w:szCs w:val="20"/>
      <w:u w:val="none"/>
      <w:lang w:bidi="ar-SA"/>
    </w:rPr>
  </w:style>
  <w:style w:type="character" w:customStyle="1" w:styleId="353">
    <w:name w:val="textnorm_chn1"/>
    <w:basedOn w:val="50"/>
    <w:qFormat/>
    <w:uiPriority w:val="0"/>
  </w:style>
  <w:style w:type="character" w:customStyle="1" w:styleId="354">
    <w:name w:val="ca-2"/>
    <w:basedOn w:val="50"/>
    <w:qFormat/>
    <w:uiPriority w:val="0"/>
  </w:style>
  <w:style w:type="character" w:customStyle="1" w:styleId="355">
    <w:name w:val="样式 标题 3Heading 3 - oldHeading 3H3l3CTBOD 03h33rd level...2 Char Char"/>
    <w:basedOn w:val="50"/>
    <w:qFormat/>
    <w:uiPriority w:val="0"/>
  </w:style>
  <w:style w:type="character" w:customStyle="1" w:styleId="356">
    <w:name w:val="font81"/>
    <w:qFormat/>
    <w:uiPriority w:val="0"/>
    <w:rPr>
      <w:rFonts w:hint="eastAsia" w:ascii="宋体" w:hAnsi="宋体" w:eastAsia="宋体" w:cs="宋体"/>
      <w:color w:val="000000"/>
      <w:sz w:val="22"/>
      <w:szCs w:val="22"/>
      <w:u w:val="none"/>
    </w:rPr>
  </w:style>
  <w:style w:type="character" w:customStyle="1" w:styleId="357">
    <w:name w:val="p121"/>
    <w:basedOn w:val="50"/>
    <w:qFormat/>
    <w:uiPriority w:val="0"/>
  </w:style>
  <w:style w:type="character" w:customStyle="1" w:styleId="358">
    <w:name w:val="small"/>
    <w:basedOn w:val="50"/>
    <w:qFormat/>
    <w:uiPriority w:val="0"/>
  </w:style>
  <w:style w:type="character" w:customStyle="1" w:styleId="359">
    <w:name w:val="正文文本缩进 3 Char1"/>
    <w:semiHidden/>
    <w:qFormat/>
    <w:uiPriority w:val="99"/>
    <w:rPr>
      <w:rFonts w:ascii="Times New Roman" w:hAnsi="Times New Roman" w:eastAsia="宋体" w:cs="Times New Roman"/>
      <w:kern w:val="2"/>
      <w:sz w:val="16"/>
      <w:szCs w:val="16"/>
    </w:rPr>
  </w:style>
  <w:style w:type="character" w:customStyle="1" w:styleId="360">
    <w:name w:val="Char Char48"/>
    <w:basedOn w:val="50"/>
    <w:qFormat/>
    <w:uiPriority w:val="0"/>
  </w:style>
  <w:style w:type="character" w:customStyle="1" w:styleId="361">
    <w:name w:val="正文文本 3 Char1"/>
    <w:semiHidden/>
    <w:qFormat/>
    <w:uiPriority w:val="99"/>
    <w:rPr>
      <w:rFonts w:ascii="Times New Roman" w:hAnsi="Times New Roman" w:eastAsia="宋体" w:cs="Times New Roman"/>
      <w:kern w:val="2"/>
      <w:sz w:val="16"/>
      <w:szCs w:val="16"/>
    </w:rPr>
  </w:style>
  <w:style w:type="character" w:customStyle="1" w:styleId="362">
    <w:name w:val="Footer Char"/>
    <w:semiHidden/>
    <w:qFormat/>
    <w:locked/>
    <w:uiPriority w:val="99"/>
    <w:rPr>
      <w:rFonts w:ascii="Calibri" w:hAnsi="Calibri" w:eastAsia="宋体" w:cs="Times New Roman"/>
      <w:sz w:val="18"/>
      <w:szCs w:val="18"/>
    </w:rPr>
  </w:style>
  <w:style w:type="character" w:customStyle="1" w:styleId="363">
    <w:name w:val="Char Char301"/>
    <w:qFormat/>
    <w:uiPriority w:val="0"/>
  </w:style>
  <w:style w:type="character" w:customStyle="1" w:styleId="364">
    <w:name w:val="正文文本 Char1"/>
    <w:qFormat/>
    <w:uiPriority w:val="0"/>
    <w:rPr>
      <w:rFonts w:ascii="Times New Roman" w:hAnsi="Times New Roman" w:eastAsia="宋体" w:cs="Times New Roman"/>
      <w:szCs w:val="20"/>
    </w:rPr>
  </w:style>
  <w:style w:type="character" w:customStyle="1" w:styleId="365">
    <w:name w:val="Char Char401"/>
    <w:qFormat/>
    <w:uiPriority w:val="0"/>
  </w:style>
  <w:style w:type="character" w:customStyle="1" w:styleId="366">
    <w:name w:val="maywed421"/>
    <w:basedOn w:val="50"/>
    <w:qFormat/>
    <w:uiPriority w:val="0"/>
  </w:style>
  <w:style w:type="character" w:customStyle="1" w:styleId="367">
    <w:name w:val="Para head"/>
    <w:basedOn w:val="50"/>
    <w:qFormat/>
    <w:uiPriority w:val="0"/>
  </w:style>
  <w:style w:type="character" w:customStyle="1" w:styleId="368">
    <w:name w:val="Heading 2 Hidden Char"/>
    <w:qFormat/>
    <w:uiPriority w:val="0"/>
  </w:style>
  <w:style w:type="character" w:customStyle="1" w:styleId="369">
    <w:name w:val="Char Char431"/>
    <w:basedOn w:val="50"/>
    <w:qFormat/>
    <w:uiPriority w:val="0"/>
  </w:style>
  <w:style w:type="character" w:customStyle="1" w:styleId="370">
    <w:name w:val="Heading 0 Char1"/>
    <w:basedOn w:val="50"/>
    <w:qFormat/>
    <w:uiPriority w:val="0"/>
  </w:style>
  <w:style w:type="character" w:customStyle="1" w:styleId="371">
    <w:name w:val="标准正文 Char Char"/>
    <w:basedOn w:val="50"/>
    <w:qFormat/>
    <w:uiPriority w:val="0"/>
  </w:style>
  <w:style w:type="character" w:customStyle="1" w:styleId="372">
    <w:name w:val="field15"/>
    <w:basedOn w:val="50"/>
    <w:qFormat/>
    <w:uiPriority w:val="0"/>
  </w:style>
  <w:style w:type="character" w:customStyle="1" w:styleId="373">
    <w:name w:val="Char Char141"/>
    <w:qFormat/>
    <w:uiPriority w:val="0"/>
  </w:style>
  <w:style w:type="character" w:customStyle="1" w:styleId="374">
    <w:name w:val="style181"/>
    <w:basedOn w:val="50"/>
    <w:qFormat/>
    <w:uiPriority w:val="0"/>
  </w:style>
  <w:style w:type="character" w:customStyle="1" w:styleId="375">
    <w:name w:val="ca-01"/>
    <w:qFormat/>
    <w:uiPriority w:val="0"/>
    <w:rPr>
      <w:rFonts w:hint="eastAsia" w:ascii="仿宋_GB2312" w:eastAsia="仿宋_GB2312"/>
      <w:b/>
      <w:bCs/>
      <w:spacing w:val="-20"/>
      <w:sz w:val="36"/>
      <w:szCs w:val="36"/>
    </w:rPr>
  </w:style>
  <w:style w:type="character" w:customStyle="1" w:styleId="376">
    <w:name w:val="yqlink"/>
    <w:basedOn w:val="50"/>
    <w:qFormat/>
    <w:uiPriority w:val="0"/>
  </w:style>
  <w:style w:type="character" w:customStyle="1" w:styleId="377">
    <w:name w:val="style71"/>
    <w:basedOn w:val="50"/>
    <w:qFormat/>
    <w:uiPriority w:val="0"/>
  </w:style>
  <w:style w:type="character" w:customStyle="1" w:styleId="378">
    <w:name w:val="Char Char50"/>
    <w:basedOn w:val="50"/>
    <w:qFormat/>
    <w:uiPriority w:val="0"/>
  </w:style>
  <w:style w:type="character" w:customStyle="1" w:styleId="379">
    <w:name w:val="Char Char34"/>
    <w:qFormat/>
    <w:uiPriority w:val="0"/>
  </w:style>
  <w:style w:type="character" w:customStyle="1" w:styleId="380">
    <w:name w:val="pt9-hui-line201"/>
    <w:basedOn w:val="50"/>
    <w:qFormat/>
    <w:uiPriority w:val="0"/>
  </w:style>
  <w:style w:type="character" w:customStyle="1" w:styleId="381">
    <w:name w:val="unnamed31"/>
    <w:basedOn w:val="50"/>
    <w:qFormat/>
    <w:uiPriority w:val="0"/>
  </w:style>
  <w:style w:type="character" w:customStyle="1" w:styleId="382">
    <w:name w:val="title1"/>
    <w:basedOn w:val="50"/>
    <w:qFormat/>
    <w:uiPriority w:val="0"/>
  </w:style>
  <w:style w:type="character" w:customStyle="1" w:styleId="383">
    <w:name w:val="Char Char28"/>
    <w:qFormat/>
    <w:uiPriority w:val="0"/>
  </w:style>
  <w:style w:type="character" w:customStyle="1" w:styleId="384">
    <w:name w:val="font121"/>
    <w:basedOn w:val="50"/>
    <w:qFormat/>
    <w:uiPriority w:val="0"/>
    <w:rPr>
      <w:rFonts w:hint="eastAsia" w:ascii="宋体" w:hAnsi="宋体" w:eastAsia="宋体" w:cs="宋体"/>
      <w:b/>
      <w:color w:val="000000"/>
      <w:sz w:val="24"/>
      <w:szCs w:val="24"/>
      <w:u w:val="none"/>
    </w:rPr>
  </w:style>
  <w:style w:type="character" w:customStyle="1" w:styleId="385">
    <w:name w:val="txt11"/>
    <w:basedOn w:val="50"/>
    <w:qFormat/>
    <w:uiPriority w:val="0"/>
  </w:style>
  <w:style w:type="character" w:customStyle="1" w:styleId="386">
    <w:name w:val="日期 Char Char"/>
    <w:basedOn w:val="50"/>
    <w:qFormat/>
    <w:uiPriority w:val="0"/>
  </w:style>
  <w:style w:type="character" w:customStyle="1" w:styleId="387">
    <w:name w:val="三级条标题 Char Char Char Char Char Char Char Char Char Char Char Char Char Char Char Char Char Char Char Char Char Char Char Char Char Char Char Char Char Char Char Char Char Char Char Char Char Char Char Char Char Char Char Char Char Char Char Char Char Ch"/>
    <w:basedOn w:val="50"/>
    <w:qFormat/>
    <w:uiPriority w:val="0"/>
  </w:style>
  <w:style w:type="character" w:customStyle="1" w:styleId="388">
    <w:name w:val="引用 Char"/>
    <w:link w:val="67"/>
    <w:qFormat/>
    <w:uiPriority w:val="29"/>
    <w:rPr>
      <w:i/>
      <w:sz w:val="24"/>
      <w:szCs w:val="24"/>
    </w:rPr>
  </w:style>
  <w:style w:type="character" w:customStyle="1" w:styleId="389">
    <w:name w:val="Char Char24"/>
    <w:qFormat/>
    <w:uiPriority w:val="0"/>
  </w:style>
  <w:style w:type="character" w:customStyle="1" w:styleId="390">
    <w:name w:val="Char Char16"/>
    <w:qFormat/>
    <w:uiPriority w:val="0"/>
  </w:style>
  <w:style w:type="character" w:customStyle="1" w:styleId="391">
    <w:name w:val="纯文本 Char Char1"/>
    <w:qFormat/>
    <w:uiPriority w:val="0"/>
  </w:style>
  <w:style w:type="character" w:customStyle="1" w:styleId="392">
    <w:name w:val="正文首行缩进 Char1"/>
    <w:semiHidden/>
    <w:qFormat/>
    <w:uiPriority w:val="99"/>
    <w:rPr>
      <w:rFonts w:ascii="Times New Roman" w:hAnsi="Times New Roman" w:eastAsia="宋体" w:cs="Times New Roman"/>
      <w:kern w:val="2"/>
      <w:sz w:val="21"/>
      <w:szCs w:val="20"/>
    </w:rPr>
  </w:style>
  <w:style w:type="character" w:customStyle="1" w:styleId="393">
    <w:name w:val="Char Char Char Char Char Char Char Char Char Char"/>
    <w:basedOn w:val="50"/>
    <w:qFormat/>
    <w:uiPriority w:val="0"/>
  </w:style>
  <w:style w:type="character" w:customStyle="1" w:styleId="394">
    <w:name w:val="Char Char8"/>
    <w:qFormat/>
    <w:uiPriority w:val="0"/>
  </w:style>
  <w:style w:type="character" w:customStyle="1" w:styleId="395">
    <w:name w:val="Char Char341"/>
    <w:basedOn w:val="50"/>
    <w:qFormat/>
    <w:uiPriority w:val="0"/>
  </w:style>
  <w:style w:type="character" w:customStyle="1" w:styleId="396">
    <w:name w:val="样式 题注 + 宋体 小四 Char Char"/>
    <w:basedOn w:val="241"/>
    <w:qFormat/>
    <w:uiPriority w:val="0"/>
    <w:rPr>
      <w:rFonts w:ascii="宋体" w:eastAsia="宋体"/>
      <w:kern w:val="2"/>
      <w:sz w:val="18"/>
      <w:szCs w:val="18"/>
      <w:lang w:bidi="ar-SA"/>
    </w:rPr>
  </w:style>
  <w:style w:type="character" w:customStyle="1" w:styleId="397">
    <w:name w:val="标题 4 Char1"/>
    <w:qFormat/>
    <w:uiPriority w:val="9"/>
    <w:rPr>
      <w:rFonts w:ascii="Calibri" w:hAnsi="Calibri" w:eastAsia="黑体"/>
      <w:b/>
      <w:bCs/>
      <w:sz w:val="32"/>
      <w:szCs w:val="28"/>
    </w:rPr>
  </w:style>
  <w:style w:type="character" w:customStyle="1" w:styleId="398">
    <w:name w:val="hang1"/>
    <w:basedOn w:val="50"/>
    <w:qFormat/>
    <w:uiPriority w:val="0"/>
  </w:style>
  <w:style w:type="character" w:customStyle="1" w:styleId="399">
    <w:name w:val="正文文本缩进 3 Char Char"/>
    <w:basedOn w:val="50"/>
    <w:qFormat/>
    <w:uiPriority w:val="0"/>
  </w:style>
  <w:style w:type="character" w:customStyle="1" w:styleId="400">
    <w:name w:val="ca-12"/>
    <w:basedOn w:val="50"/>
    <w:qFormat/>
    <w:uiPriority w:val="0"/>
  </w:style>
  <w:style w:type="character" w:customStyle="1" w:styleId="401">
    <w:name w:val="Char Char18"/>
    <w:qFormat/>
    <w:uiPriority w:val="0"/>
  </w:style>
  <w:style w:type="character" w:customStyle="1" w:styleId="402">
    <w:name w:val="Char Char25"/>
    <w:qFormat/>
    <w:uiPriority w:val="0"/>
  </w:style>
  <w:style w:type="character" w:customStyle="1" w:styleId="403">
    <w:name w:val="表内文字 Char Char"/>
    <w:basedOn w:val="50"/>
    <w:qFormat/>
    <w:uiPriority w:val="0"/>
  </w:style>
  <w:style w:type="character" w:customStyle="1" w:styleId="404">
    <w:name w:val="Char Char29"/>
    <w:qFormat/>
    <w:uiPriority w:val="0"/>
  </w:style>
  <w:style w:type="character" w:customStyle="1" w:styleId="405">
    <w:name w:val="Char Char481"/>
    <w:qFormat/>
    <w:uiPriority w:val="0"/>
  </w:style>
  <w:style w:type="character" w:customStyle="1" w:styleId="406">
    <w:name w:val="Char Char81"/>
    <w:qFormat/>
    <w:uiPriority w:val="0"/>
  </w:style>
  <w:style w:type="character" w:customStyle="1" w:styleId="407">
    <w:name w:val="font11"/>
    <w:qFormat/>
    <w:uiPriority w:val="0"/>
    <w:rPr>
      <w:rFonts w:hint="default" w:ascii="Arial" w:hAnsi="Arial" w:cs="Arial"/>
      <w:color w:val="000000"/>
      <w:sz w:val="22"/>
      <w:szCs w:val="22"/>
      <w:u w:val="none"/>
    </w:rPr>
  </w:style>
  <w:style w:type="character" w:customStyle="1" w:styleId="408">
    <w:name w:val="Char Char461"/>
    <w:basedOn w:val="50"/>
    <w:qFormat/>
    <w:uiPriority w:val="0"/>
  </w:style>
  <w:style w:type="character" w:customStyle="1" w:styleId="409">
    <w:name w:val="Table Text Char1"/>
    <w:basedOn w:val="50"/>
    <w:qFormat/>
    <w:uiPriority w:val="0"/>
  </w:style>
  <w:style w:type="character" w:customStyle="1" w:styleId="410">
    <w:name w:val="ca-32"/>
    <w:qFormat/>
    <w:uiPriority w:val="0"/>
  </w:style>
  <w:style w:type="character" w:customStyle="1" w:styleId="411">
    <w:name w:val="页码1"/>
    <w:basedOn w:val="50"/>
    <w:qFormat/>
    <w:uiPriority w:val="0"/>
  </w:style>
  <w:style w:type="character" w:customStyle="1" w:styleId="412">
    <w:name w:val="Char Char47"/>
    <w:basedOn w:val="50"/>
    <w:qFormat/>
    <w:uiPriority w:val="0"/>
  </w:style>
  <w:style w:type="character" w:customStyle="1" w:styleId="413">
    <w:name w:val="题注 Char Char"/>
    <w:basedOn w:val="50"/>
    <w:qFormat/>
    <w:uiPriority w:val="0"/>
  </w:style>
  <w:style w:type="character" w:customStyle="1" w:styleId="414">
    <w:name w:val="_Style 410"/>
    <w:qFormat/>
    <w:uiPriority w:val="32"/>
    <w:rPr>
      <w:b/>
      <w:sz w:val="24"/>
      <w:u w:val="single"/>
    </w:rPr>
  </w:style>
  <w:style w:type="character" w:customStyle="1" w:styleId="415">
    <w:name w:val="（符号）三标题1.1 Char Char"/>
    <w:link w:val="68"/>
    <w:qFormat/>
    <w:locked/>
    <w:uiPriority w:val="0"/>
    <w:rPr>
      <w:rFonts w:ascii="宋体" w:hAnsi="宋体"/>
      <w:kern w:val="2"/>
      <w:sz w:val="24"/>
      <w:szCs w:val="24"/>
      <w:lang w:bidi="ar-SA"/>
    </w:rPr>
  </w:style>
  <w:style w:type="character" w:customStyle="1" w:styleId="416">
    <w:name w:val="正文（缩进） Char Char1"/>
    <w:basedOn w:val="50"/>
    <w:qFormat/>
    <w:uiPriority w:val="0"/>
  </w:style>
  <w:style w:type="character" w:customStyle="1" w:styleId="417">
    <w:name w:val="style91"/>
    <w:basedOn w:val="50"/>
    <w:qFormat/>
    <w:uiPriority w:val="0"/>
  </w:style>
  <w:style w:type="character" w:customStyle="1" w:styleId="418">
    <w:name w:val="列出段落 Char"/>
    <w:link w:val="69"/>
    <w:qFormat/>
    <w:uiPriority w:val="0"/>
    <w:rPr>
      <w:rFonts w:ascii="Calibri" w:hAnsi="Calibri"/>
      <w:szCs w:val="21"/>
      <w:lang w:bidi="ar-SA"/>
    </w:rPr>
  </w:style>
  <w:style w:type="character" w:customStyle="1" w:styleId="419">
    <w:name w:val="Char Char351"/>
    <w:basedOn w:val="50"/>
    <w:qFormat/>
    <w:uiPriority w:val="0"/>
  </w:style>
  <w:style w:type="character" w:customStyle="1" w:styleId="420">
    <w:name w:val="unnamed11"/>
    <w:basedOn w:val="50"/>
    <w:qFormat/>
    <w:uiPriority w:val="0"/>
  </w:style>
  <w:style w:type="character" w:customStyle="1" w:styleId="421">
    <w:name w:val="content"/>
    <w:basedOn w:val="50"/>
    <w:qFormat/>
    <w:uiPriority w:val="0"/>
  </w:style>
  <w:style w:type="character" w:customStyle="1" w:styleId="422">
    <w:name w:val="标题 4 Char Char"/>
    <w:basedOn w:val="50"/>
    <w:qFormat/>
    <w:uiPriority w:val="0"/>
  </w:style>
  <w:style w:type="character" w:customStyle="1" w:styleId="423">
    <w:name w:val="Char Char23"/>
    <w:qFormat/>
    <w:uiPriority w:val="0"/>
  </w:style>
  <w:style w:type="character" w:customStyle="1" w:styleId="424">
    <w:name w:val="正文首行缩进两字符 Char Char"/>
    <w:basedOn w:val="50"/>
    <w:qFormat/>
    <w:uiPriority w:val="0"/>
  </w:style>
  <w:style w:type="character" w:customStyle="1" w:styleId="425">
    <w:name w:val="明显引用 Char"/>
    <w:link w:val="70"/>
    <w:qFormat/>
    <w:uiPriority w:val="30"/>
    <w:rPr>
      <w:b/>
      <w:i/>
      <w:sz w:val="24"/>
    </w:rPr>
  </w:style>
  <w:style w:type="character" w:customStyle="1" w:styleId="426">
    <w:name w:val="正文小标题 Char Char"/>
    <w:basedOn w:val="50"/>
    <w:qFormat/>
    <w:uiPriority w:val="0"/>
  </w:style>
  <w:style w:type="character" w:customStyle="1" w:styleId="427">
    <w:name w:val="ca-7"/>
    <w:basedOn w:val="50"/>
    <w:qFormat/>
    <w:uiPriority w:val="0"/>
  </w:style>
  <w:style w:type="character" w:customStyle="1" w:styleId="428">
    <w:name w:val="Char Char5"/>
    <w:qFormat/>
    <w:uiPriority w:val="0"/>
  </w:style>
  <w:style w:type="character" w:customStyle="1" w:styleId="429">
    <w:name w:val="fo Char"/>
    <w:basedOn w:val="50"/>
    <w:qFormat/>
    <w:uiPriority w:val="0"/>
  </w:style>
  <w:style w:type="character" w:customStyle="1" w:styleId="430">
    <w:name w:val="Char Char12"/>
    <w:qFormat/>
    <w:uiPriority w:val="0"/>
  </w:style>
  <w:style w:type="character" w:customStyle="1" w:styleId="431">
    <w:name w:val="t11"/>
    <w:basedOn w:val="50"/>
    <w:qFormat/>
    <w:uiPriority w:val="0"/>
  </w:style>
  <w:style w:type="character" w:customStyle="1" w:styleId="432">
    <w:name w:val="l151"/>
    <w:basedOn w:val="50"/>
    <w:qFormat/>
    <w:uiPriority w:val="0"/>
  </w:style>
  <w:style w:type="character" w:customStyle="1" w:styleId="433">
    <w:name w:val="Footer1 Char Char"/>
    <w:basedOn w:val="50"/>
    <w:qFormat/>
    <w:uiPriority w:val="0"/>
  </w:style>
  <w:style w:type="character" w:customStyle="1" w:styleId="434">
    <w:name w:val="方框标题 Char Char"/>
    <w:basedOn w:val="50"/>
    <w:qFormat/>
    <w:uiPriority w:val="0"/>
  </w:style>
  <w:style w:type="character" w:customStyle="1" w:styleId="435">
    <w:name w:val="text1"/>
    <w:basedOn w:val="50"/>
    <w:qFormat/>
    <w:uiPriority w:val="0"/>
  </w:style>
  <w:style w:type="character" w:customStyle="1" w:styleId="436">
    <w:name w:val="Char Char45"/>
    <w:basedOn w:val="50"/>
    <w:qFormat/>
    <w:uiPriority w:val="0"/>
  </w:style>
  <w:style w:type="character" w:customStyle="1" w:styleId="437">
    <w:name w:val="小标题 Char Char"/>
    <w:basedOn w:val="50"/>
    <w:qFormat/>
    <w:uiPriority w:val="0"/>
  </w:style>
  <w:style w:type="character" w:customStyle="1" w:styleId="438">
    <w:name w:val="ca-1"/>
    <w:basedOn w:val="50"/>
    <w:qFormat/>
    <w:uiPriority w:val="0"/>
  </w:style>
  <w:style w:type="character" w:customStyle="1" w:styleId="439">
    <w:name w:val="Char Char201"/>
    <w:qFormat/>
    <w:uiPriority w:val="0"/>
  </w:style>
  <w:style w:type="character" w:customStyle="1" w:styleId="440">
    <w:name w:val="Char Char131"/>
    <w:qFormat/>
    <w:uiPriority w:val="0"/>
  </w:style>
  <w:style w:type="character" w:customStyle="1" w:styleId="441">
    <w:name w:val="Char Char471"/>
    <w:qFormat/>
    <w:uiPriority w:val="0"/>
  </w:style>
  <w:style w:type="character" w:customStyle="1" w:styleId="442">
    <w:name w:val="Char Char381"/>
    <w:qFormat/>
    <w:uiPriority w:val="0"/>
  </w:style>
  <w:style w:type="character" w:customStyle="1" w:styleId="443">
    <w:name w:val="b21"/>
    <w:basedOn w:val="50"/>
    <w:qFormat/>
    <w:uiPriority w:val="0"/>
  </w:style>
  <w:style w:type="character" w:customStyle="1" w:styleId="444">
    <w:name w:val="pediy"/>
    <w:basedOn w:val="50"/>
    <w:qFormat/>
    <w:uiPriority w:val="0"/>
  </w:style>
  <w:style w:type="character" w:customStyle="1" w:styleId="445">
    <w:name w:val="Highlighted Variable"/>
    <w:basedOn w:val="50"/>
    <w:qFormat/>
    <w:uiPriority w:val="0"/>
  </w:style>
  <w:style w:type="character" w:customStyle="1" w:styleId="446">
    <w:name w:val="页脚 Char Char"/>
    <w:basedOn w:val="50"/>
    <w:qFormat/>
    <w:uiPriority w:val="0"/>
  </w:style>
  <w:style w:type="character" w:customStyle="1" w:styleId="447">
    <w:name w:val="z-窗体顶端 Char1"/>
    <w:semiHidden/>
    <w:qFormat/>
    <w:uiPriority w:val="99"/>
    <w:rPr>
      <w:rFonts w:ascii="Arial" w:hAnsi="Arial" w:eastAsia="宋体" w:cs="Arial"/>
      <w:vanish/>
      <w:kern w:val="2"/>
      <w:sz w:val="16"/>
      <w:szCs w:val="16"/>
    </w:rPr>
  </w:style>
  <w:style w:type="character" w:customStyle="1" w:styleId="448">
    <w:name w:val="NormalCharacter"/>
    <w:qFormat/>
    <w:uiPriority w:val="0"/>
  </w:style>
  <w:style w:type="character" w:customStyle="1" w:styleId="449">
    <w:name w:val="abcde1"/>
    <w:basedOn w:val="50"/>
    <w:qFormat/>
    <w:uiPriority w:val="0"/>
  </w:style>
  <w:style w:type="character" w:customStyle="1" w:styleId="450">
    <w:name w:val="标题 3 Char Char"/>
    <w:basedOn w:val="50"/>
    <w:qFormat/>
    <w:uiPriority w:val="0"/>
  </w:style>
  <w:style w:type="character" w:customStyle="1" w:styleId="451">
    <w:name w:val="Char Char151"/>
    <w:qFormat/>
    <w:uiPriority w:val="0"/>
  </w:style>
  <w:style w:type="character" w:customStyle="1" w:styleId="452">
    <w:name w:val="Char Char121"/>
    <w:basedOn w:val="50"/>
    <w:qFormat/>
    <w:uiPriority w:val="0"/>
  </w:style>
  <w:style w:type="character" w:customStyle="1" w:styleId="453">
    <w:name w:val="para"/>
    <w:basedOn w:val="50"/>
    <w:qFormat/>
    <w:uiPriority w:val="0"/>
  </w:style>
  <w:style w:type="character" w:customStyle="1" w:styleId="454">
    <w:name w:val="Char Char Char Char Char Char Char Char Char1"/>
    <w:basedOn w:val="50"/>
    <w:qFormat/>
    <w:uiPriority w:val="0"/>
  </w:style>
  <w:style w:type="character" w:customStyle="1" w:styleId="455">
    <w:name w:val="px141"/>
    <w:basedOn w:val="50"/>
    <w:qFormat/>
    <w:uiPriority w:val="0"/>
  </w:style>
  <w:style w:type="character" w:customStyle="1" w:styleId="456">
    <w:name w:val="article1"/>
    <w:basedOn w:val="50"/>
    <w:qFormat/>
    <w:uiPriority w:val="0"/>
  </w:style>
  <w:style w:type="character" w:customStyle="1" w:styleId="457">
    <w:name w:val="Char Char161"/>
    <w:basedOn w:val="50"/>
    <w:qFormat/>
    <w:uiPriority w:val="0"/>
  </w:style>
  <w:style w:type="character" w:customStyle="1" w:styleId="458">
    <w:name w:val="文档结构图 Char1"/>
    <w:semiHidden/>
    <w:qFormat/>
    <w:uiPriority w:val="99"/>
    <w:rPr>
      <w:rFonts w:ascii="Microsoft YaHei UI" w:hAnsi="Times New Roman" w:eastAsia="Microsoft YaHei UI" w:cs="Times New Roman"/>
      <w:kern w:val="2"/>
      <w:sz w:val="18"/>
      <w:szCs w:val="18"/>
    </w:rPr>
  </w:style>
  <w:style w:type="character" w:customStyle="1" w:styleId="459">
    <w:name w:val="point_normal"/>
    <w:basedOn w:val="50"/>
    <w:qFormat/>
    <w:uiPriority w:val="0"/>
  </w:style>
  <w:style w:type="character" w:customStyle="1" w:styleId="460">
    <w:name w:val="Char Char181"/>
    <w:qFormat/>
    <w:uiPriority w:val="0"/>
  </w:style>
  <w:style w:type="character" w:customStyle="1" w:styleId="461">
    <w:name w:val="Char Char231"/>
    <w:qFormat/>
    <w:uiPriority w:val="0"/>
  </w:style>
  <w:style w:type="character" w:customStyle="1" w:styleId="462">
    <w:name w:val="Char Char451"/>
    <w:qFormat/>
    <w:uiPriority w:val="0"/>
  </w:style>
  <w:style w:type="character" w:customStyle="1" w:styleId="463">
    <w:name w:val="批注引用11"/>
    <w:qFormat/>
    <w:uiPriority w:val="0"/>
  </w:style>
  <w:style w:type="character" w:customStyle="1" w:styleId="464">
    <w:name w:val="Char Char271"/>
    <w:qFormat/>
    <w:uiPriority w:val="0"/>
  </w:style>
  <w:style w:type="character" w:customStyle="1" w:styleId="465">
    <w:name w:val="z-窗体顶端 Char"/>
    <w:link w:val="71"/>
    <w:qFormat/>
    <w:uiPriority w:val="0"/>
    <w:rPr>
      <w:rFonts w:ascii="Arial" w:hAnsi="Arial" w:eastAsia="宋体"/>
      <w:vanish/>
      <w:sz w:val="16"/>
      <w:szCs w:val="16"/>
      <w:lang w:bidi="ar-SA"/>
    </w:rPr>
  </w:style>
  <w:style w:type="character" w:customStyle="1" w:styleId="466">
    <w:name w:val="1 标题 Char Char"/>
    <w:basedOn w:val="50"/>
    <w:qFormat/>
    <w:uiPriority w:val="0"/>
  </w:style>
  <w:style w:type="character" w:customStyle="1" w:styleId="467">
    <w:name w:val="标题2"/>
    <w:basedOn w:val="50"/>
    <w:qFormat/>
    <w:uiPriority w:val="0"/>
  </w:style>
  <w:style w:type="character" w:customStyle="1" w:styleId="468">
    <w:name w:val="标题 1 Char Char"/>
    <w:basedOn w:val="50"/>
    <w:qFormat/>
    <w:uiPriority w:val="0"/>
  </w:style>
  <w:style w:type="character" w:customStyle="1" w:styleId="469">
    <w:name w:val="p12"/>
    <w:basedOn w:val="50"/>
    <w:qFormat/>
    <w:uiPriority w:val="0"/>
  </w:style>
  <w:style w:type="character" w:customStyle="1" w:styleId="470">
    <w:name w:val="Char Char281"/>
    <w:qFormat/>
    <w:uiPriority w:val="0"/>
  </w:style>
  <w:style w:type="character" w:customStyle="1" w:styleId="471">
    <w:name w:val="Char Char19"/>
    <w:basedOn w:val="50"/>
    <w:qFormat/>
    <w:uiPriority w:val="0"/>
  </w:style>
  <w:style w:type="character" w:customStyle="1" w:styleId="472">
    <w:name w:val="副标题 Char1"/>
    <w:qFormat/>
    <w:uiPriority w:val="11"/>
    <w:rPr>
      <w:rFonts w:ascii="Cambria" w:hAnsi="Cambria" w:cs="Times New Roman"/>
      <w:b/>
      <w:bCs/>
      <w:kern w:val="28"/>
      <w:sz w:val="32"/>
      <w:szCs w:val="32"/>
    </w:rPr>
  </w:style>
  <w:style w:type="character" w:customStyle="1" w:styleId="473">
    <w:name w:val="正文段落 Char Char"/>
    <w:basedOn w:val="50"/>
    <w:qFormat/>
    <w:uiPriority w:val="0"/>
  </w:style>
  <w:style w:type="character" w:customStyle="1" w:styleId="474">
    <w:name w:val="_Style 470"/>
    <w:qFormat/>
    <w:uiPriority w:val="21"/>
    <w:rPr>
      <w:b/>
      <w:i/>
      <w:sz w:val="24"/>
      <w:szCs w:val="24"/>
      <w:u w:val="single"/>
    </w:rPr>
  </w:style>
  <w:style w:type="character" w:customStyle="1" w:styleId="475">
    <w:name w:val="Char Char421"/>
    <w:basedOn w:val="50"/>
    <w:qFormat/>
    <w:uiPriority w:val="0"/>
  </w:style>
  <w:style w:type="character" w:customStyle="1" w:styleId="476">
    <w:name w:val="Char Char41"/>
    <w:basedOn w:val="50"/>
    <w:qFormat/>
    <w:uiPriority w:val="0"/>
  </w:style>
  <w:style w:type="character" w:customStyle="1" w:styleId="477">
    <w:name w:val="日期 Char1"/>
    <w:semiHidden/>
    <w:qFormat/>
    <w:uiPriority w:val="99"/>
    <w:rPr>
      <w:rFonts w:ascii="Times New Roman" w:hAnsi="Times New Roman" w:eastAsia="宋体" w:cs="Times New Roman"/>
      <w:kern w:val="2"/>
      <w:sz w:val="21"/>
    </w:rPr>
  </w:style>
  <w:style w:type="character" w:customStyle="1" w:styleId="478">
    <w:name w:val="脚注文本 Char1"/>
    <w:semiHidden/>
    <w:qFormat/>
    <w:uiPriority w:val="99"/>
    <w:rPr>
      <w:rFonts w:ascii="Times New Roman" w:hAnsi="Times New Roman" w:eastAsia="宋体" w:cs="Times New Roman"/>
      <w:kern w:val="2"/>
      <w:sz w:val="18"/>
      <w:szCs w:val="18"/>
    </w:rPr>
  </w:style>
  <w:style w:type="character" w:customStyle="1" w:styleId="479">
    <w:name w:val="Char Char491"/>
    <w:qFormat/>
    <w:uiPriority w:val="0"/>
  </w:style>
  <w:style w:type="character" w:customStyle="1" w:styleId="480">
    <w:name w:val="纯文本 Char1"/>
    <w:basedOn w:val="50"/>
    <w:qFormat/>
    <w:uiPriority w:val="0"/>
  </w:style>
  <w:style w:type="character" w:customStyle="1" w:styleId="481">
    <w:name w:val="Char Char251"/>
    <w:qFormat/>
    <w:uiPriority w:val="0"/>
  </w:style>
  <w:style w:type="character" w:customStyle="1" w:styleId="482">
    <w:name w:val="font41"/>
    <w:basedOn w:val="50"/>
    <w:qFormat/>
    <w:uiPriority w:val="0"/>
    <w:rPr>
      <w:rFonts w:hint="default" w:ascii="Arial" w:hAnsi="Arial" w:cs="Arial"/>
      <w:color w:val="000000"/>
      <w:sz w:val="22"/>
      <w:szCs w:val="22"/>
      <w:u w:val="none"/>
    </w:rPr>
  </w:style>
  <w:style w:type="character" w:customStyle="1" w:styleId="483">
    <w:name w:val="Char Char9"/>
    <w:qFormat/>
    <w:uiPriority w:val="0"/>
  </w:style>
  <w:style w:type="character" w:customStyle="1" w:styleId="484">
    <w:name w:val="Char Char21"/>
    <w:basedOn w:val="50"/>
    <w:qFormat/>
    <w:uiPriority w:val="0"/>
  </w:style>
  <w:style w:type="character" w:customStyle="1" w:styleId="485">
    <w:name w:val="font111"/>
    <w:qFormat/>
    <w:uiPriority w:val="0"/>
    <w:rPr>
      <w:rFonts w:hint="eastAsia" w:ascii="楷体_GB2312" w:eastAsia="楷体_GB2312" w:cs="楷体_GB2312"/>
      <w:color w:val="000000"/>
      <w:sz w:val="20"/>
      <w:szCs w:val="20"/>
      <w:u w:val="none"/>
    </w:rPr>
  </w:style>
  <w:style w:type="character" w:customStyle="1" w:styleId="486">
    <w:name w:val="Char Char91"/>
    <w:basedOn w:val="50"/>
    <w:qFormat/>
    <w:uiPriority w:val="0"/>
  </w:style>
  <w:style w:type="character" w:customStyle="1" w:styleId="487">
    <w:name w:val="11-a-a"/>
    <w:basedOn w:val="50"/>
    <w:qFormat/>
    <w:uiPriority w:val="0"/>
  </w:style>
  <w:style w:type="character" w:customStyle="1" w:styleId="488">
    <w:name w:val="副标题 Char2"/>
    <w:qFormat/>
    <w:uiPriority w:val="11"/>
    <w:rPr>
      <w:rFonts w:ascii="Cambria" w:hAnsi="Cambria" w:eastAsia="宋体" w:cs="Times New Roman"/>
      <w:b/>
      <w:bCs/>
      <w:kern w:val="28"/>
      <w:sz w:val="32"/>
      <w:szCs w:val="32"/>
    </w:rPr>
  </w:style>
  <w:style w:type="character" w:customStyle="1" w:styleId="489">
    <w:name w:val="Table Text Char Char Char Char Char Char1 Char Char"/>
    <w:basedOn w:val="50"/>
    <w:qFormat/>
    <w:uiPriority w:val="0"/>
  </w:style>
  <w:style w:type="character" w:customStyle="1" w:styleId="490">
    <w:name w:val="列出段落 Char1"/>
    <w:basedOn w:val="50"/>
    <w:qFormat/>
    <w:uiPriority w:val="0"/>
  </w:style>
  <w:style w:type="character" w:customStyle="1" w:styleId="491">
    <w:name w:val="Char Char391"/>
    <w:qFormat/>
    <w:uiPriority w:val="0"/>
  </w:style>
  <w:style w:type="character" w:customStyle="1" w:styleId="492">
    <w:name w:val="ca-0"/>
    <w:basedOn w:val="50"/>
    <w:qFormat/>
    <w:uiPriority w:val="0"/>
  </w:style>
  <w:style w:type="character" w:customStyle="1" w:styleId="493">
    <w:name w:val="wctjfont1"/>
    <w:basedOn w:val="50"/>
    <w:qFormat/>
    <w:uiPriority w:val="0"/>
  </w:style>
  <w:style w:type="character" w:customStyle="1" w:styleId="494">
    <w:name w:val="Char Char291"/>
    <w:qFormat/>
    <w:uiPriority w:val="0"/>
  </w:style>
  <w:style w:type="character" w:customStyle="1" w:styleId="495">
    <w:name w:val="文字 Char Char"/>
    <w:basedOn w:val="50"/>
    <w:qFormat/>
    <w:uiPriority w:val="0"/>
  </w:style>
  <w:style w:type="character" w:customStyle="1" w:styleId="496">
    <w:name w:val="标题样式 Char"/>
    <w:link w:val="72"/>
    <w:qFormat/>
    <w:locked/>
    <w:uiPriority w:val="0"/>
    <w:rPr>
      <w:rFonts w:ascii="黑体" w:eastAsia="黑体"/>
      <w:b/>
      <w:kern w:val="2"/>
      <w:sz w:val="32"/>
      <w:lang w:bidi="ar-SA"/>
    </w:rPr>
  </w:style>
  <w:style w:type="character" w:customStyle="1" w:styleId="497">
    <w:name w:val="Char Char51"/>
    <w:basedOn w:val="50"/>
    <w:qFormat/>
    <w:uiPriority w:val="0"/>
  </w:style>
  <w:style w:type="character" w:customStyle="1" w:styleId="498">
    <w:name w:val="标题 3 Char Char Char"/>
    <w:basedOn w:val="50"/>
    <w:qFormat/>
    <w:uiPriority w:val="0"/>
  </w:style>
  <w:style w:type="character" w:customStyle="1" w:styleId="499">
    <w:name w:val="正文（标记） Char2"/>
    <w:basedOn w:val="50"/>
    <w:qFormat/>
    <w:uiPriority w:val="0"/>
  </w:style>
  <w:style w:type="character" w:customStyle="1" w:styleId="500">
    <w:name w:val="Char Char321"/>
    <w:qFormat/>
    <w:uiPriority w:val="0"/>
  </w:style>
  <w:style w:type="character" w:customStyle="1" w:styleId="501">
    <w:name w:val="Char Char331"/>
    <w:basedOn w:val="395"/>
    <w:qFormat/>
    <w:uiPriority w:val="0"/>
  </w:style>
  <w:style w:type="character" w:customStyle="1" w:styleId="502">
    <w:name w:val="text21"/>
    <w:basedOn w:val="50"/>
    <w:qFormat/>
    <w:uiPriority w:val="0"/>
  </w:style>
  <w:style w:type="character" w:customStyle="1" w:styleId="503">
    <w:name w:val="Char Char241"/>
    <w:qFormat/>
    <w:uiPriority w:val="0"/>
  </w:style>
  <w:style w:type="character" w:customStyle="1" w:styleId="504">
    <w:name w:val="font101"/>
    <w:basedOn w:val="50"/>
    <w:qFormat/>
    <w:uiPriority w:val="0"/>
    <w:rPr>
      <w:rFonts w:ascii="楷体_GB2312" w:eastAsia="楷体_GB2312" w:cs="楷体_GB2312"/>
      <w:color w:val="000000"/>
      <w:sz w:val="20"/>
      <w:szCs w:val="20"/>
      <w:u w:val="none"/>
    </w:rPr>
  </w:style>
  <w:style w:type="character" w:customStyle="1" w:styleId="505">
    <w:name w:val="ca-4"/>
    <w:basedOn w:val="50"/>
    <w:qFormat/>
    <w:uiPriority w:val="0"/>
  </w:style>
  <w:style w:type="character" w:customStyle="1" w:styleId="506">
    <w:name w:val="Char Char501"/>
    <w:qFormat/>
    <w:uiPriority w:val="0"/>
  </w:style>
  <w:style w:type="character" w:customStyle="1" w:styleId="507">
    <w:name w:val="Char Char22"/>
    <w:qFormat/>
    <w:uiPriority w:val="0"/>
  </w:style>
  <w:style w:type="character" w:customStyle="1" w:styleId="508">
    <w:name w:val="Char Char261"/>
    <w:qFormat/>
    <w:uiPriority w:val="0"/>
  </w:style>
  <w:style w:type="character" w:customStyle="1" w:styleId="509">
    <w:name w:val="表格 Char Char"/>
    <w:link w:val="73"/>
    <w:qFormat/>
    <w:uiPriority w:val="0"/>
    <w:rPr>
      <w:rFonts w:eastAsia="宋体"/>
      <w:kern w:val="2"/>
      <w:sz w:val="24"/>
      <w:szCs w:val="24"/>
      <w:lang w:val="en-US" w:eastAsia="zh-CN" w:bidi="ar-SA"/>
    </w:rPr>
  </w:style>
  <w:style w:type="character" w:customStyle="1" w:styleId="510">
    <w:name w:val="z-窗体底端 Char"/>
    <w:link w:val="74"/>
    <w:qFormat/>
    <w:uiPriority w:val="0"/>
    <w:rPr>
      <w:rFonts w:ascii="Arial" w:hAnsi="Arial" w:eastAsia="宋体"/>
      <w:vanish/>
      <w:sz w:val="16"/>
      <w:szCs w:val="16"/>
      <w:lang w:bidi="ar-SA"/>
    </w:rPr>
  </w:style>
  <w:style w:type="character" w:customStyle="1" w:styleId="511">
    <w:name w:val="标题 5 Char Char"/>
    <w:basedOn w:val="50"/>
    <w:qFormat/>
    <w:uiPriority w:val="0"/>
  </w:style>
  <w:style w:type="character" w:customStyle="1" w:styleId="512">
    <w:name w:val="font71"/>
    <w:basedOn w:val="50"/>
    <w:qFormat/>
    <w:uiPriority w:val="0"/>
    <w:rPr>
      <w:rFonts w:hint="default" w:ascii="Arial" w:hAnsi="Arial" w:cs="Arial"/>
      <w:b/>
      <w:color w:val="000000"/>
      <w:sz w:val="22"/>
      <w:szCs w:val="22"/>
      <w:u w:val="none"/>
    </w:rPr>
  </w:style>
  <w:style w:type="character" w:customStyle="1" w:styleId="513">
    <w:name w:val="Char Char410"/>
    <w:qFormat/>
    <w:uiPriority w:val="0"/>
  </w:style>
  <w:style w:type="character" w:customStyle="1" w:styleId="514">
    <w:name w:val="ca-5"/>
    <w:basedOn w:val="50"/>
    <w:qFormat/>
    <w:uiPriority w:val="0"/>
  </w:style>
  <w:style w:type="character" w:customStyle="1" w:styleId="515">
    <w:name w:val="样式1 Char"/>
    <w:link w:val="75"/>
    <w:qFormat/>
    <w:locked/>
    <w:uiPriority w:val="99"/>
    <w:rPr>
      <w:rFonts w:ascii="宋体" w:hAnsi="宋体" w:eastAsia="黑体"/>
      <w:b/>
      <w:bCs/>
      <w:kern w:val="2"/>
      <w:sz w:val="24"/>
      <w:szCs w:val="32"/>
      <w:lang w:val="en-US" w:eastAsia="zh-CN" w:bidi="ar-SA"/>
    </w:rPr>
  </w:style>
  <w:style w:type="character" w:customStyle="1" w:styleId="516">
    <w:name w:val="Char Char Char Char Char Char Char Char Char Char Char1"/>
    <w:qFormat/>
    <w:uiPriority w:val="0"/>
    <w:rPr>
      <w:rFonts w:ascii="宋体"/>
      <w:kern w:val="2"/>
      <w:sz w:val="18"/>
      <w:szCs w:val="18"/>
    </w:rPr>
  </w:style>
  <w:style w:type="character" w:customStyle="1" w:styleId="517">
    <w:name w:val="Char Char221"/>
    <w:qFormat/>
    <w:uiPriority w:val="0"/>
  </w:style>
  <w:style w:type="character" w:customStyle="1" w:styleId="518">
    <w:name w:val="a9"/>
    <w:basedOn w:val="50"/>
    <w:qFormat/>
    <w:uiPriority w:val="0"/>
  </w:style>
  <w:style w:type="character" w:customStyle="1" w:styleId="519">
    <w:name w:val="正文缩进2格 Char Char"/>
    <w:basedOn w:val="50"/>
    <w:qFormat/>
    <w:uiPriority w:val="0"/>
  </w:style>
  <w:style w:type="character" w:customStyle="1" w:styleId="520">
    <w:name w:val="ca-111"/>
    <w:basedOn w:val="50"/>
    <w:qFormat/>
    <w:uiPriority w:val="0"/>
  </w:style>
  <w:style w:type="character" w:customStyle="1" w:styleId="521">
    <w:name w:val="标题 7 Char Char"/>
    <w:basedOn w:val="50"/>
    <w:qFormat/>
    <w:uiPriority w:val="0"/>
  </w:style>
  <w:style w:type="character" w:customStyle="1" w:styleId="522">
    <w:name w:val="Char Char Char Char Char Char Char Char Char Char1"/>
    <w:qFormat/>
    <w:uiPriority w:val="0"/>
  </w:style>
  <w:style w:type="character" w:customStyle="1" w:styleId="523">
    <w:name w:val="Char Char311"/>
    <w:qFormat/>
    <w:uiPriority w:val="0"/>
  </w:style>
  <w:style w:type="character" w:customStyle="1" w:styleId="524">
    <w:name w:val="Char Char111"/>
    <w:qFormat/>
    <w:uiPriority w:val="0"/>
  </w:style>
  <w:style w:type="character" w:customStyle="1" w:styleId="525">
    <w:name w:val="text"/>
    <w:basedOn w:val="50"/>
    <w:qFormat/>
    <w:uiPriority w:val="0"/>
  </w:style>
  <w:style w:type="character" w:customStyle="1" w:styleId="526">
    <w:name w:val="方框下的123标题 Char Char"/>
    <w:basedOn w:val="50"/>
    <w:qFormat/>
    <w:uiPriority w:val="0"/>
  </w:style>
  <w:style w:type="character" w:customStyle="1" w:styleId="527">
    <w:name w:val="页码11"/>
    <w:qFormat/>
    <w:uiPriority w:val="0"/>
  </w:style>
  <w:style w:type="character" w:customStyle="1" w:styleId="528">
    <w:name w:val="Char Char411"/>
    <w:qFormat/>
    <w:uiPriority w:val="0"/>
  </w:style>
  <w:style w:type="character" w:customStyle="1" w:styleId="529">
    <w:name w:val="style171"/>
    <w:basedOn w:val="50"/>
    <w:qFormat/>
    <w:uiPriority w:val="0"/>
  </w:style>
  <w:style w:type="character" w:customStyle="1" w:styleId="530">
    <w:name w:val="ca-11"/>
    <w:basedOn w:val="50"/>
    <w:qFormat/>
    <w:uiPriority w:val="0"/>
  </w:style>
  <w:style w:type="character" w:customStyle="1" w:styleId="531">
    <w:name w:val="Char Char101"/>
    <w:qFormat/>
    <w:uiPriority w:val="0"/>
  </w:style>
  <w:style w:type="character" w:customStyle="1" w:styleId="532">
    <w:name w:val="Char Char361"/>
    <w:qFormat/>
    <w:uiPriority w:val="0"/>
  </w:style>
  <w:style w:type="character" w:customStyle="1" w:styleId="533">
    <w:name w:val="font-121"/>
    <w:basedOn w:val="50"/>
    <w:qFormat/>
    <w:uiPriority w:val="0"/>
  </w:style>
  <w:style w:type="character" w:customStyle="1" w:styleId="534">
    <w:name w:val="ca-9"/>
    <w:basedOn w:val="50"/>
    <w:qFormat/>
    <w:uiPriority w:val="0"/>
  </w:style>
  <w:style w:type="paragraph" w:customStyle="1" w:styleId="535">
    <w:name w:val="修订1"/>
    <w:hidden/>
    <w:unhideWhenUsed/>
    <w:qFormat/>
    <w:uiPriority w:val="99"/>
    <w:rPr>
      <w:rFonts w:ascii="Times New Roman" w:hAnsi="Times New Roman" w:eastAsia="宋体" w:cs="Times New Roman"/>
      <w:sz w:val="24"/>
      <w:szCs w:val="24"/>
      <w:lang w:val="en-US" w:eastAsia="zh-CN" w:bidi="ar-SA"/>
    </w:rPr>
  </w:style>
  <w:style w:type="paragraph" w:customStyle="1" w:styleId="536">
    <w:name w:val="Revision"/>
    <w:hidden/>
    <w:unhideWhenUsed/>
    <w:qFormat/>
    <w:uiPriority w:val="99"/>
    <w:rPr>
      <w:rFonts w:ascii="Times New Roman" w:hAnsi="Times New Roman" w:eastAsia="宋体" w:cs="Times New Roman"/>
      <w:sz w:val="24"/>
      <w:szCs w:val="24"/>
      <w:lang w:val="en-US" w:eastAsia="zh-CN" w:bidi="ar-SA"/>
    </w:rPr>
  </w:style>
  <w:style w:type="paragraph" w:customStyle="1" w:styleId="537">
    <w:name w:val="正文首行缩进（绿盟科技）"/>
    <w:basedOn w:val="1"/>
    <w:qFormat/>
    <w:uiPriority w:val="0"/>
    <w:pPr>
      <w:widowControl/>
      <w:spacing w:after="50" w:line="300" w:lineRule="auto"/>
      <w:ind w:firstLine="200" w:firstLineChars="200"/>
      <w:jc w:val="left"/>
    </w:pPr>
    <w:rPr>
      <w:rFonts w:ascii="Arial" w:hAnsi="Arial" w:eastAsia="宋体" w:cs="Times New Roman"/>
      <w:kern w:val="0"/>
      <w:szCs w:val="21"/>
    </w:rPr>
  </w:style>
  <w:style w:type="paragraph" w:customStyle="1" w:styleId="538">
    <w:name w:val="13、表格内居中正文"/>
    <w:basedOn w:val="1"/>
    <w:qFormat/>
    <w:uiPriority w:val="0"/>
    <w:pPr>
      <w:tabs>
        <w:tab w:val="left" w:pos="0"/>
      </w:tabs>
      <w:wordWrap w:val="0"/>
      <w:topLinePunct/>
      <w:adjustRightInd w:val="0"/>
      <w:snapToGrid w:val="0"/>
      <w:spacing w:line="360" w:lineRule="exact"/>
      <w:jc w:val="center"/>
    </w:pPr>
    <w:rPr>
      <w:rFonts w:ascii="宋体" w:hAnsi="宋体"/>
    </w:rPr>
  </w:style>
  <w:style w:type="character" w:customStyle="1" w:styleId="539">
    <w:name w:val="font51"/>
    <w:basedOn w:val="50"/>
    <w:qFormat/>
    <w:uiPriority w:val="0"/>
    <w:rPr>
      <w:rFonts w:hint="eastAsia" w:ascii="宋体" w:hAnsi="宋体" w:eastAsia="宋体" w:cs="宋体"/>
      <w:color w:val="000000"/>
      <w:sz w:val="12"/>
      <w:szCs w:val="12"/>
      <w:u w:val="none"/>
    </w:rPr>
  </w:style>
  <w:style w:type="character" w:customStyle="1" w:styleId="540">
    <w:name w:val="font112"/>
    <w:basedOn w:val="50"/>
    <w:qFormat/>
    <w:uiPriority w:val="0"/>
    <w:rPr>
      <w:rFonts w:hint="default" w:ascii="Times New Roman" w:hAnsi="Times New Roman" w:cs="Times New Roman"/>
      <w:color w:val="000000"/>
      <w:sz w:val="12"/>
      <w:szCs w:val="12"/>
      <w:u w:val="none"/>
    </w:rPr>
  </w:style>
  <w:style w:type="character" w:customStyle="1" w:styleId="541">
    <w:name w:val="font141"/>
    <w:basedOn w:val="50"/>
    <w:qFormat/>
    <w:uiPriority w:val="0"/>
    <w:rPr>
      <w:rFonts w:hint="eastAsia" w:ascii="宋体" w:hAnsi="宋体" w:eastAsia="宋体" w:cs="宋体"/>
      <w:color w:val="000000"/>
      <w:sz w:val="12"/>
      <w:szCs w:val="12"/>
      <w:u w:val="none"/>
    </w:rPr>
  </w:style>
  <w:style w:type="paragraph" w:customStyle="1" w:styleId="542">
    <w:name w:val="表头"/>
    <w:basedOn w:val="1"/>
    <w:qFormat/>
    <w:uiPriority w:val="0"/>
    <w:pPr>
      <w:spacing w:line="240" w:lineRule="auto"/>
      <w:ind w:firstLine="0" w:firstLineChars="0"/>
      <w:jc w:val="center"/>
    </w:pPr>
    <w:rPr>
      <w:rFonts w:ascii="Times New Roman" w:hAnsi="Times New Roman" w:eastAsia="黑体"/>
      <w:sz w:val="24"/>
      <w:szCs w:val="22"/>
    </w:rPr>
  </w:style>
  <w:style w:type="paragraph" w:customStyle="1" w:styleId="543">
    <w:name w:val="内表"/>
    <w:basedOn w:val="544"/>
    <w:qFormat/>
    <w:uiPriority w:val="0"/>
    <w:pPr>
      <w:jc w:val="center"/>
    </w:pPr>
    <w:rPr>
      <w:rFonts w:ascii="Times New Roman" w:hAnsi="Times New Roman" w:eastAsia="仿宋" w:cs="Times New Roman"/>
      <w:szCs w:val="21"/>
    </w:rPr>
  </w:style>
  <w:style w:type="paragraph" w:customStyle="1" w:styleId="544">
    <w:name w:val="无间隔11"/>
    <w:qFormat/>
    <w:uiPriority w:val="0"/>
    <w:pPr>
      <w:widowControl w:val="0"/>
      <w:jc w:val="both"/>
    </w:pPr>
    <w:rPr>
      <w:rFonts w:ascii="Times New Roman" w:hAnsi="Times New Roman" w:eastAsia="宋体" w:cs="Times New Roman"/>
      <w:kern w:val="2"/>
      <w:sz w:val="24"/>
      <w:szCs w:val="22"/>
      <w:lang w:val="en-US" w:eastAsia="zh-CN" w:bidi="ar-SA"/>
    </w:rPr>
  </w:style>
  <w:style w:type="paragraph" w:customStyle="1" w:styleId="545">
    <w:name w:val="Normal_0"/>
    <w:qFormat/>
    <w:uiPriority w:val="0"/>
    <w:rPr>
      <w:rFonts w:ascii="Times New Roman" w:hAnsi="Times New Roman" w:eastAsia="Times New Roman" w:cs="Times New Roman"/>
      <w:sz w:val="24"/>
      <w:szCs w:val="24"/>
      <w:lang w:val="en-US" w:eastAsia="zh-CN" w:bidi="ar-SA"/>
    </w:rPr>
  </w:style>
  <w:style w:type="paragraph" w:customStyle="1" w:styleId="546">
    <w:name w:val="Body Text 2"/>
    <w:basedOn w:val="1"/>
    <w:qFormat/>
    <w:uiPriority w:val="0"/>
    <w:pPr>
      <w:adjustRightInd w:val="0"/>
      <w:spacing w:line="300" w:lineRule="auto"/>
      <w:jc w:val="center"/>
      <w:textAlignment w:val="baseline"/>
    </w:pPr>
    <w:rPr>
      <w:rFonts w:ascii="宋体" w:hAnsi="宋体"/>
      <w:sz w:val="24"/>
    </w:rPr>
  </w:style>
  <w:style w:type="paragraph" w:customStyle="1" w:styleId="547">
    <w:name w:val="段后正文"/>
    <w:basedOn w:val="1"/>
    <w:qFormat/>
    <w:uiPriority w:val="0"/>
    <w:pPr>
      <w:widowControl w:val="0"/>
      <w:adjustRightInd w:val="0"/>
      <w:snapToGrid w:val="0"/>
      <w:spacing w:line="440" w:lineRule="atLeast"/>
      <w:jc w:val="left"/>
    </w:pPr>
    <w:rPr>
      <w:rFonts w:ascii="汉仪书宋二KW" w:hAnsi="汉仪书宋二KW" w:eastAsia="Hiragino Sans GB W3" w:cs="Times New Roman"/>
      <w:sz w:val="21"/>
      <w:szCs w:val="22"/>
    </w:rPr>
  </w:style>
  <w:style w:type="paragraph" w:customStyle="1" w:styleId="548">
    <w:name w:val="null3"/>
    <w:hidden/>
    <w:qFormat/>
    <w:uiPriority w:val="0"/>
    <w:rPr>
      <w:rFonts w:hint="eastAsia" w:asciiTheme="minorHAnsi" w:hAnsiTheme="minorHAnsi" w:eastAsiaTheme="minorEastAsia" w:cstheme="minorBidi"/>
      <w:lang w:val="en-US" w:eastAsia="zh-Hans"/>
    </w:rPr>
  </w:style>
  <w:style w:type="table" w:customStyle="1" w:styleId="549">
    <w:name w:val="Table Normal"/>
    <w:autoRedefine/>
    <w:unhideWhenUsed/>
    <w:qFormat/>
    <w:uiPriority w:val="2"/>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6.png"/><Relationship Id="rId32" Type="http://schemas.openxmlformats.org/officeDocument/2006/relationships/theme" Target="theme/theme1.xml"/><Relationship Id="rId31" Type="http://schemas.openxmlformats.org/officeDocument/2006/relationships/footer" Target="footer12.xml"/><Relationship Id="rId30" Type="http://schemas.openxmlformats.org/officeDocument/2006/relationships/header" Target="header17.xml"/><Relationship Id="rId3" Type="http://schemas.openxmlformats.org/officeDocument/2006/relationships/header" Target="header1.xml"/><Relationship Id="rId29" Type="http://schemas.openxmlformats.org/officeDocument/2006/relationships/header" Target="header16.xml"/><Relationship Id="rId28" Type="http://schemas.openxmlformats.org/officeDocument/2006/relationships/footer" Target="footer11.xml"/><Relationship Id="rId27" Type="http://schemas.openxmlformats.org/officeDocument/2006/relationships/header" Target="header15.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76</Pages>
  <Words>9066</Words>
  <Characters>9582</Characters>
  <Lines>311</Lines>
  <Paragraphs>87</Paragraphs>
  <TotalTime>0</TotalTime>
  <ScaleCrop>false</ScaleCrop>
  <LinksUpToDate>false</LinksUpToDate>
  <CharactersWithSpaces>9754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2020-08-04T04:08:00Z</dcterms:created>
  <dc:creator>User</dc:creator>
  <cp:lastModifiedBy>最后的轻语</cp:lastModifiedBy>
  <cp:lastPrinted>2019-10-11T02:51:00Z</cp:lastPrinted>
  <dcterms:modified xsi:type="dcterms:W3CDTF">2026-06-02T03:54:52Z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11F4D0D5C9C84825A950933837B2CCF8_13</vt:lpwstr>
  </property>
  <property fmtid="{D5CDD505-2E9C-101B-9397-08002B2CF9AE}" pid="4" name="commondata">
    <vt:lpwstr>eyJoZGlkIjoiZTQwNmVjZDE5Mzk2ZWU1OGE1M2ViYzE1YzBiZTQ3OTcifQ==</vt:lpwstr>
  </property>
  <property fmtid="{D5CDD505-2E9C-101B-9397-08002B2CF9AE}" pid="5" name="KSOTemplateDocerSaveRecord">
    <vt:lpwstr>eyJoZGlkIjoiOWUxODc2OWQ2NmFiNTVhMWMxNTMwZThmZmVkZGRjNzQiLCJ1c2VySWQiOiIxMTM1MTcyOTQzIn0=</vt:lpwstr>
  </property>
</Properties>
</file>